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bookmarkStart w:id="1" w:name="_GoBack"/>
      <w:bookmarkEnd w:id="1"/>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rPr>
      </w:pPr>
      <w:r>
        <w:rPr>
          <w:rFonts w:hint="eastAsia" w:ascii="宋体" w:hAnsi="宋体" w:cs="宋体"/>
          <w:bCs/>
          <w:sz w:val="20"/>
        </w:rPr>
        <w:t>评估项目：中国煤炭地质总局水文地质局拟置换位于河北省邯郸市中煤华盛工业园工业房地产市场价值咨询评估项目</w:t>
      </w:r>
    </w:p>
    <w:p>
      <w:pPr>
        <w:rPr>
          <w:rFonts w:ascii="宋体" w:hAnsi="宋体" w:cs="宋体"/>
          <w:bCs/>
          <w:sz w:val="20"/>
        </w:rPr>
      </w:pPr>
      <w:r>
        <w:rPr>
          <w:rFonts w:hint="eastAsia" w:ascii="宋体" w:hAnsi="宋体" w:cs="宋体"/>
          <w:bCs/>
          <w:sz w:val="20"/>
        </w:rPr>
        <w:t>公示期限：2022年</w:t>
      </w:r>
      <w:r>
        <w:rPr>
          <w:rFonts w:ascii="宋体" w:hAnsi="宋体" w:cs="宋体"/>
          <w:bCs/>
          <w:sz w:val="20"/>
        </w:rPr>
        <w:t xml:space="preserve"> </w:t>
      </w:r>
      <w:r>
        <w:rPr>
          <w:rFonts w:hint="eastAsia" w:ascii="宋体" w:hAnsi="宋体" w:cs="宋体"/>
          <w:bCs/>
          <w:sz w:val="20"/>
          <w:lang w:val="en-US" w:eastAsia="zh-CN"/>
        </w:rPr>
        <w:t>11</w:t>
      </w:r>
      <w:r>
        <w:rPr>
          <w:rFonts w:hint="eastAsia" w:ascii="宋体" w:hAnsi="宋体" w:cs="宋体"/>
          <w:bCs/>
          <w:sz w:val="20"/>
        </w:rPr>
        <w:t xml:space="preserve"> 月 </w:t>
      </w:r>
      <w:r>
        <w:rPr>
          <w:rFonts w:hint="eastAsia" w:ascii="宋体" w:hAnsi="宋体" w:cs="宋体"/>
          <w:bCs/>
          <w:sz w:val="20"/>
          <w:lang w:val="en-US" w:eastAsia="zh-CN"/>
        </w:rPr>
        <w:t>11</w:t>
      </w:r>
      <w:r>
        <w:rPr>
          <w:rFonts w:ascii="宋体" w:hAnsi="宋体" w:cs="宋体"/>
          <w:bCs/>
          <w:sz w:val="20"/>
        </w:rPr>
        <w:t xml:space="preserve"> </w:t>
      </w:r>
      <w:r>
        <w:rPr>
          <w:rFonts w:hint="eastAsia" w:ascii="宋体" w:hAnsi="宋体" w:cs="宋体"/>
          <w:bCs/>
          <w:sz w:val="20"/>
        </w:rPr>
        <w:t xml:space="preserve">日至2022年 </w:t>
      </w:r>
      <w:r>
        <w:rPr>
          <w:rFonts w:hint="eastAsia" w:ascii="宋体" w:hAnsi="宋体" w:cs="宋体"/>
          <w:bCs/>
          <w:sz w:val="20"/>
          <w:lang w:val="en-US" w:eastAsia="zh-CN"/>
        </w:rPr>
        <w:t>11</w:t>
      </w:r>
      <w:r>
        <w:rPr>
          <w:rFonts w:ascii="宋体" w:hAnsi="宋体" w:cs="宋体"/>
          <w:bCs/>
          <w:sz w:val="20"/>
        </w:rPr>
        <w:t xml:space="preserve"> </w:t>
      </w:r>
      <w:r>
        <w:rPr>
          <w:rFonts w:hint="eastAsia" w:ascii="宋体" w:hAnsi="宋体" w:cs="宋体"/>
          <w:bCs/>
          <w:sz w:val="20"/>
        </w:rPr>
        <w:t xml:space="preserve">月 </w:t>
      </w:r>
      <w:r>
        <w:rPr>
          <w:rFonts w:hint="eastAsia" w:ascii="宋体" w:hAnsi="宋体" w:cs="宋体"/>
          <w:bCs/>
          <w:sz w:val="20"/>
          <w:lang w:val="en-US" w:eastAsia="zh-CN"/>
        </w:rPr>
        <w:t>17</w:t>
      </w:r>
      <w:r>
        <w:rPr>
          <w:rFonts w:ascii="宋体" w:hAnsi="宋体" w:cs="宋体"/>
          <w:bCs/>
          <w:sz w:val="20"/>
        </w:rPr>
        <w:t xml:space="preserve"> </w:t>
      </w:r>
      <w:r>
        <w:rPr>
          <w:rFonts w:hint="eastAsia" w:ascii="宋体" w:hAnsi="宋体" w:cs="宋体"/>
          <w:bCs/>
          <w:sz w:val="20"/>
        </w:rPr>
        <w:t>日</w:t>
      </w:r>
    </w:p>
    <w:tbl>
      <w:tblPr>
        <w:tblStyle w:val="4"/>
        <w:tblW w:w="93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473"/>
        <w:gridCol w:w="1252"/>
        <w:gridCol w:w="1247"/>
        <w:gridCol w:w="1460"/>
        <w:gridCol w:w="1146"/>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99" w:type="dxa"/>
            <w:vAlign w:val="center"/>
          </w:tcPr>
          <w:p>
            <w:pPr>
              <w:jc w:val="center"/>
              <w:rPr>
                <w:rFonts w:ascii="宋体" w:hAnsi="宋体" w:cs="宋体"/>
                <w:bCs/>
                <w:sz w:val="20"/>
              </w:rPr>
            </w:pPr>
            <w:r>
              <w:rPr>
                <w:rFonts w:hint="eastAsia" w:ascii="宋体" w:hAnsi="宋体" w:cs="宋体"/>
                <w:bCs/>
                <w:sz w:val="20"/>
              </w:rPr>
              <w:t>序号</w:t>
            </w:r>
          </w:p>
        </w:tc>
        <w:tc>
          <w:tcPr>
            <w:tcW w:w="1473" w:type="dxa"/>
            <w:vAlign w:val="center"/>
          </w:tcPr>
          <w:p>
            <w:pPr>
              <w:jc w:val="center"/>
              <w:rPr>
                <w:rFonts w:ascii="宋体" w:hAnsi="宋体" w:cs="宋体"/>
                <w:bCs/>
                <w:sz w:val="20"/>
              </w:rPr>
            </w:pPr>
            <w:r>
              <w:rPr>
                <w:rFonts w:hint="eastAsia" w:ascii="宋体" w:hAnsi="宋体" w:cs="宋体"/>
                <w:bCs/>
                <w:sz w:val="20"/>
              </w:rPr>
              <w:t>公示项目</w:t>
            </w:r>
          </w:p>
        </w:tc>
        <w:tc>
          <w:tcPr>
            <w:tcW w:w="6988" w:type="dxa"/>
            <w:gridSpan w:val="5"/>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99" w:type="dxa"/>
            <w:vAlign w:val="center"/>
          </w:tcPr>
          <w:p>
            <w:pPr>
              <w:jc w:val="center"/>
              <w:rPr>
                <w:rFonts w:ascii="宋体" w:hAnsi="宋体" w:cs="宋体"/>
                <w:bCs/>
                <w:sz w:val="20"/>
              </w:rPr>
            </w:pPr>
            <w:r>
              <w:rPr>
                <w:rFonts w:hint="eastAsia" w:ascii="宋体" w:hAnsi="宋体" w:cs="宋体"/>
                <w:bCs/>
                <w:sz w:val="20"/>
              </w:rPr>
              <w:t>1</w:t>
            </w:r>
          </w:p>
        </w:tc>
        <w:tc>
          <w:tcPr>
            <w:tcW w:w="1473" w:type="dxa"/>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988" w:type="dxa"/>
            <w:gridSpan w:val="5"/>
            <w:vAlign w:val="center"/>
          </w:tcPr>
          <w:p>
            <w:pPr>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中国煤炭地质总局关于水文地质局中煤华盛工业园土地置换事项立项的批复（中煤地办发规划〔2022〕</w:t>
            </w:r>
            <w:r>
              <w:rPr>
                <w:rFonts w:asciiTheme="majorEastAsia" w:hAnsiTheme="majorEastAsia" w:eastAsiaTheme="majorEastAsia" w:cstheme="majorEastAsia"/>
                <w:bCs/>
                <w:sz w:val="20"/>
              </w:rPr>
              <w:t>8</w:t>
            </w:r>
            <w:r>
              <w:rPr>
                <w:rFonts w:hint="eastAsia" w:asciiTheme="majorEastAsia" w:hAnsiTheme="majorEastAsia" w:eastAsiaTheme="majorEastAsia" w:cstheme="majorEastAsia"/>
                <w:bCs/>
                <w:sz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9" w:type="dxa"/>
            <w:vAlign w:val="center"/>
          </w:tcPr>
          <w:p>
            <w:pPr>
              <w:jc w:val="center"/>
              <w:rPr>
                <w:rFonts w:ascii="宋体" w:hAnsi="宋体" w:cs="宋体"/>
                <w:bCs/>
                <w:sz w:val="20"/>
              </w:rPr>
            </w:pPr>
            <w:r>
              <w:rPr>
                <w:rFonts w:hint="eastAsia" w:ascii="宋体" w:hAnsi="宋体" w:cs="宋体"/>
                <w:bCs/>
                <w:sz w:val="20"/>
              </w:rPr>
              <w:t>2</w:t>
            </w:r>
          </w:p>
        </w:tc>
        <w:tc>
          <w:tcPr>
            <w:tcW w:w="1473" w:type="dxa"/>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988" w:type="dxa"/>
            <w:gridSpan w:val="5"/>
            <w:vAlign w:val="center"/>
          </w:tcPr>
          <w:p>
            <w:pPr>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中国煤炭地质总局依照规定程序从评估机构备选库中择优选择符合要求的评估机构。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9" w:type="dxa"/>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473" w:type="dxa"/>
            <w:vAlign w:val="center"/>
          </w:tcPr>
          <w:p>
            <w:pPr>
              <w:jc w:val="center"/>
              <w:rPr>
                <w:rFonts w:ascii="宋体" w:hAnsi="宋体" w:cs="宋体"/>
                <w:bCs/>
                <w:sz w:val="20"/>
              </w:rPr>
            </w:pPr>
            <w:r>
              <w:rPr>
                <w:rFonts w:hint="eastAsia" w:ascii="宋体" w:hAnsi="宋体" w:cs="宋体"/>
                <w:bCs/>
                <w:sz w:val="20"/>
              </w:rPr>
              <w:t>评估机构及评估师资质</w:t>
            </w:r>
          </w:p>
        </w:tc>
        <w:tc>
          <w:tcPr>
            <w:tcW w:w="6988" w:type="dxa"/>
            <w:gridSpan w:val="5"/>
            <w:vAlign w:val="center"/>
          </w:tcPr>
          <w:p>
            <w:pPr>
              <w:rPr>
                <w:rFonts w:asciiTheme="majorEastAsia" w:hAnsiTheme="majorEastAsia" w:eastAsiaTheme="majorEastAsia" w:cstheme="majorEastAsia"/>
                <w:bCs/>
                <w:sz w:val="20"/>
              </w:rPr>
            </w:pPr>
            <w:r>
              <w:rPr>
                <w:rFonts w:hint="eastAsia" w:asciiTheme="majorEastAsia" w:hAnsiTheme="majorEastAsia" w:eastAsiaTheme="majorEastAsia" w:cstheme="majorEastAsia"/>
                <w:sz w:val="20"/>
              </w:rPr>
              <w:t>北京中地华夏土地房地产评估有限公司</w:t>
            </w:r>
            <w:r>
              <w:rPr>
                <w:rFonts w:hint="eastAsia" w:asciiTheme="majorEastAsia" w:hAnsiTheme="majorEastAsia" w:eastAsiaTheme="majorEastAsia" w:cstheme="majorEastAsia"/>
                <w:bCs/>
                <w:sz w:val="20"/>
              </w:rPr>
              <w:t>：牛宇辰</w:t>
            </w:r>
            <w:r>
              <w:rPr>
                <w:rFonts w:asciiTheme="majorEastAsia" w:hAnsiTheme="majorEastAsia" w:eastAsiaTheme="majorEastAsia" w:cstheme="majorEastAsia"/>
                <w:bCs/>
                <w:sz w:val="20"/>
              </w:rPr>
              <w:t xml:space="preserve"> </w:t>
            </w:r>
            <w:r>
              <w:rPr>
                <w:rFonts w:hint="eastAsia" w:asciiTheme="majorEastAsia" w:hAnsiTheme="majorEastAsia" w:eastAsiaTheme="majorEastAsia" w:cstheme="majorEastAsia"/>
                <w:bCs/>
                <w:sz w:val="20"/>
              </w:rPr>
              <w:t>1120070043；纪成昌1120140073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99" w:type="dxa"/>
            <w:vAlign w:val="center"/>
          </w:tcPr>
          <w:p>
            <w:pPr>
              <w:jc w:val="center"/>
              <w:rPr>
                <w:rFonts w:ascii="宋体" w:hAnsi="宋体" w:cs="宋体"/>
                <w:bCs/>
                <w:sz w:val="20"/>
              </w:rPr>
            </w:pPr>
            <w:r>
              <w:rPr>
                <w:rFonts w:hint="eastAsia" w:ascii="宋体" w:hAnsi="宋体" w:cs="宋体"/>
                <w:bCs/>
                <w:sz w:val="20"/>
              </w:rPr>
              <w:t>4</w:t>
            </w:r>
          </w:p>
        </w:tc>
        <w:tc>
          <w:tcPr>
            <w:tcW w:w="1473" w:type="dxa"/>
            <w:vAlign w:val="center"/>
          </w:tcPr>
          <w:p>
            <w:pPr>
              <w:jc w:val="center"/>
              <w:rPr>
                <w:rFonts w:ascii="宋体" w:hAnsi="宋体" w:cs="宋体"/>
                <w:bCs/>
                <w:sz w:val="20"/>
              </w:rPr>
            </w:pPr>
            <w:r>
              <w:rPr>
                <w:rFonts w:hint="eastAsia" w:ascii="宋体" w:hAnsi="宋体" w:cs="宋体"/>
                <w:bCs/>
                <w:sz w:val="20"/>
              </w:rPr>
              <w:t>评估程序履行及审核情况</w:t>
            </w:r>
          </w:p>
        </w:tc>
        <w:tc>
          <w:tcPr>
            <w:tcW w:w="6988" w:type="dxa"/>
            <w:gridSpan w:val="5"/>
            <w:vAlign w:val="center"/>
          </w:tcPr>
          <w:p>
            <w:pPr>
              <w:widowControl/>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中国煤炭地质总局选聘</w:t>
            </w:r>
            <w:r>
              <w:rPr>
                <w:rFonts w:hint="eastAsia" w:asciiTheme="majorEastAsia" w:hAnsiTheme="majorEastAsia" w:eastAsiaTheme="majorEastAsia" w:cstheme="majorEastAsia"/>
                <w:sz w:val="20"/>
              </w:rPr>
              <w:t>北京中地华夏土地房地产评估有限公司</w:t>
            </w:r>
            <w:r>
              <w:rPr>
                <w:rFonts w:hint="eastAsia" w:asciiTheme="majorEastAsia" w:hAnsiTheme="majorEastAsia" w:eastAsiaTheme="majorEastAsia" w:cstheme="majorEastAsia"/>
                <w:bCs/>
                <w:sz w:val="20"/>
              </w:rPr>
              <w:t>对</w:t>
            </w:r>
            <w:r>
              <w:rPr>
                <w:rFonts w:hint="eastAsia" w:ascii="宋体" w:hAnsi="宋体" w:cs="宋体"/>
                <w:bCs/>
                <w:sz w:val="20"/>
              </w:rPr>
              <w:t>中国煤炭地质总局水文地质局拟置换位于河北省邯郸市中煤华盛工业园工业房地产市场价值咨询</w:t>
            </w:r>
            <w:r>
              <w:rPr>
                <w:rFonts w:hint="eastAsia" w:asciiTheme="majorEastAsia" w:hAnsiTheme="majorEastAsia" w:eastAsiaTheme="majorEastAsia" w:cstheme="majorEastAsia"/>
                <w:bCs/>
                <w:sz w:val="20"/>
              </w:rPr>
              <w:t>评估项目开展评估工作，并由中国煤炭地质总局委托专家对评估报告初稿进行了审核并出具了审核意见，目前审核无异议。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trPr>
        <w:tc>
          <w:tcPr>
            <w:tcW w:w="899" w:type="dxa"/>
            <w:vAlign w:val="center"/>
          </w:tcPr>
          <w:p>
            <w:pPr>
              <w:jc w:val="center"/>
              <w:rPr>
                <w:rFonts w:ascii="宋体" w:hAnsi="宋体" w:cs="宋体"/>
                <w:bCs/>
                <w:sz w:val="20"/>
              </w:rPr>
            </w:pPr>
            <w:r>
              <w:rPr>
                <w:rFonts w:hint="eastAsia" w:ascii="宋体" w:hAnsi="宋体" w:cs="宋体"/>
                <w:bCs/>
                <w:sz w:val="20"/>
              </w:rPr>
              <w:t>5</w:t>
            </w:r>
          </w:p>
        </w:tc>
        <w:tc>
          <w:tcPr>
            <w:tcW w:w="1473" w:type="dxa"/>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988" w:type="dxa"/>
            <w:gridSpan w:val="5"/>
            <w:vAlign w:val="center"/>
          </w:tcPr>
          <w:p>
            <w:pPr>
              <w:widowControl/>
              <w:ind w:firstLine="400" w:firstLineChars="200"/>
              <w:jc w:val="left"/>
              <w:rPr>
                <w:rFonts w:hint="eastAsia" w:asciiTheme="majorEastAsia" w:hAnsiTheme="majorEastAsia" w:eastAsiaTheme="majorEastAsia" w:cstheme="majorEastAsia"/>
                <w:bCs/>
                <w:sz w:val="20"/>
              </w:rPr>
            </w:pPr>
          </w:p>
          <w:p>
            <w:pPr>
              <w:widowControl/>
              <w:ind w:firstLine="400" w:firstLineChars="200"/>
              <w:jc w:val="left"/>
              <w:rPr>
                <w:rFonts w:hint="eastAsia"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评估报告摘要：</w:t>
            </w:r>
          </w:p>
          <w:p>
            <w:pPr>
              <w:widowControl/>
              <w:ind w:firstLine="400" w:firstLineChars="200"/>
              <w:jc w:val="left"/>
              <w:rPr>
                <w:rFonts w:hint="eastAsia" w:asciiTheme="majorEastAsia" w:hAnsiTheme="majorEastAsia" w:eastAsiaTheme="majorEastAsia" w:cstheme="majorEastAsia"/>
                <w:bCs/>
                <w:sz w:val="20"/>
              </w:rPr>
            </w:pPr>
            <w:r>
              <w:rPr>
                <w:rFonts w:hint="eastAsia" w:asciiTheme="majorEastAsia" w:hAnsiTheme="majorEastAsia" w:eastAsiaTheme="majorEastAsia" w:cstheme="majorEastAsia"/>
                <w:bCs/>
                <w:sz w:val="20"/>
                <w:lang w:val="en-US" w:eastAsia="zh-CN"/>
              </w:rPr>
              <w:t>评估目的为</w:t>
            </w:r>
            <w:r>
              <w:rPr>
                <w:rFonts w:hint="eastAsia" w:asciiTheme="majorEastAsia" w:hAnsiTheme="majorEastAsia" w:eastAsiaTheme="majorEastAsia" w:cstheme="majorEastAsia"/>
                <w:bCs/>
                <w:sz w:val="20"/>
              </w:rPr>
              <w:t>中国煤炭地质总局水文地质局因受第三方污染问题拟置换位于邯郸经济技术开发区新兴路9号中煤华盛工业园的房地产，特委托北京中地华夏土地房地产评估有限公司对置换涉及的房屋建筑物、地上附着物市场价值进行咨询评估，为确定上述房地产市场价值提供价格参考。</w:t>
            </w:r>
          </w:p>
          <w:p>
            <w:pPr>
              <w:widowControl/>
              <w:ind w:firstLine="400" w:firstLineChars="200"/>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对象为中国煤炭地质总局水文地质局拟处置的工业园房屋建筑物、地上附着物涉及的市场价值，评估范围为位于邯郸经济技术开发区新兴路9号中煤华盛工业园的房地产（仅包括地上建筑物、构筑物及其他附着物，不包括国有建设用地使用权）。建筑面积：</w:t>
            </w:r>
            <w:r>
              <w:rPr>
                <w:rFonts w:hint="eastAsia" w:asciiTheme="majorEastAsia" w:hAnsiTheme="majorEastAsia" w:eastAsiaTheme="majorEastAsia" w:cstheme="majorEastAsia"/>
                <w:sz w:val="20"/>
              </w:rPr>
              <w:t>27625.81平方米</w:t>
            </w:r>
            <w:r>
              <w:rPr>
                <w:rFonts w:hint="eastAsia" w:asciiTheme="majorEastAsia" w:hAnsiTheme="majorEastAsia" w:eastAsiaTheme="majorEastAsia" w:cstheme="majorEastAsia"/>
                <w:bCs/>
                <w:sz w:val="20"/>
              </w:rPr>
              <w:t>。</w:t>
            </w:r>
          </w:p>
          <w:p>
            <w:pPr>
              <w:widowControl/>
              <w:ind w:firstLine="400" w:firstLineChars="200"/>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评估基准日为2022年</w:t>
            </w:r>
            <w:r>
              <w:rPr>
                <w:rFonts w:asciiTheme="majorEastAsia" w:hAnsiTheme="majorEastAsia" w:eastAsiaTheme="majorEastAsia" w:cstheme="majorEastAsia"/>
                <w:bCs/>
                <w:sz w:val="20"/>
              </w:rPr>
              <w:t>3</w:t>
            </w:r>
            <w:r>
              <w:rPr>
                <w:rFonts w:hint="eastAsia" w:asciiTheme="majorEastAsia" w:hAnsiTheme="majorEastAsia" w:eastAsiaTheme="majorEastAsia" w:cstheme="majorEastAsia"/>
                <w:bCs/>
                <w:sz w:val="20"/>
              </w:rPr>
              <w:t>月31日。</w:t>
            </w:r>
          </w:p>
          <w:p>
            <w:pPr>
              <w:widowControl/>
              <w:ind w:firstLine="400" w:firstLineChars="200"/>
              <w:jc w:val="left"/>
              <w:rPr>
                <w:rFonts w:asciiTheme="minorEastAsia" w:hAnsiTheme="minorEastAsia" w:eastAsiaTheme="minorEastAsia" w:cstheme="minorEastAsia"/>
                <w:bCs/>
                <w:sz w:val="20"/>
              </w:rPr>
            </w:pPr>
            <w:r>
              <w:rPr>
                <w:rFonts w:hint="eastAsia" w:asciiTheme="minorEastAsia" w:hAnsiTheme="minorEastAsia" w:eastAsiaTheme="minorEastAsia" w:cstheme="minorEastAsia"/>
                <w:bCs/>
                <w:sz w:val="20"/>
              </w:rPr>
              <w:t>本次评估以持续使用和公开市场为前提，结合评估对象的实际情况，综合考虑各种影响因素，采用成本法进行估价。</w:t>
            </w:r>
          </w:p>
          <w:p>
            <w:pPr>
              <w:widowControl/>
              <w:ind w:firstLine="400" w:firstLineChars="200"/>
              <w:jc w:val="left"/>
              <w:rPr>
                <w:rFonts w:asciiTheme="majorEastAsia" w:hAnsiTheme="majorEastAsia" w:eastAsiaTheme="majorEastAsia" w:cstheme="majorEastAsia"/>
                <w:bCs/>
                <w:sz w:val="20"/>
              </w:rPr>
            </w:pPr>
            <w:r>
              <w:rPr>
                <w:rFonts w:hint="eastAsia" w:asciiTheme="minorEastAsia" w:hAnsiTheme="minorEastAsia" w:eastAsiaTheme="minorEastAsia" w:cstheme="minorEastAsia"/>
                <w:bCs/>
                <w:sz w:val="20"/>
              </w:rPr>
              <w:t>经实</w:t>
            </w:r>
            <w:r>
              <w:rPr>
                <w:rFonts w:hint="eastAsia" w:asciiTheme="majorEastAsia" w:hAnsiTheme="majorEastAsia" w:eastAsiaTheme="majorEastAsia" w:cstheme="majorEastAsia"/>
                <w:bCs/>
                <w:sz w:val="20"/>
              </w:rPr>
              <w:t>施清查核实、实地查勘、市场调查和评定估算等评估程序，得出在评估基准日2022年3月31日的结论如下：中国煤炭地质总局水文地质局拟处置的中煤华盛工业园资产在评估基准日的账面价值为</w:t>
            </w:r>
            <w:bookmarkStart w:id="0" w:name="_Hlk118797730"/>
            <w:r>
              <w:rPr>
                <w:rFonts w:asciiTheme="majorEastAsia" w:hAnsiTheme="majorEastAsia" w:eastAsiaTheme="majorEastAsia" w:cstheme="majorEastAsia"/>
                <w:bCs/>
                <w:sz w:val="20"/>
              </w:rPr>
              <w:t>2,999.93</w:t>
            </w:r>
            <w:bookmarkEnd w:id="0"/>
            <w:r>
              <w:rPr>
                <w:rFonts w:hint="eastAsia" w:asciiTheme="majorEastAsia" w:hAnsiTheme="majorEastAsia" w:eastAsiaTheme="majorEastAsia" w:cstheme="majorEastAsia"/>
                <w:bCs/>
                <w:sz w:val="20"/>
              </w:rPr>
              <w:t>万元，评估价值为7,565.33万元，评估值增</w:t>
            </w:r>
            <w:r>
              <w:rPr>
                <w:rFonts w:asciiTheme="majorEastAsia" w:hAnsiTheme="majorEastAsia" w:eastAsiaTheme="majorEastAsia" w:cstheme="majorEastAsia"/>
                <w:bCs/>
                <w:sz w:val="20"/>
              </w:rPr>
              <w:t>4,565.40</w:t>
            </w:r>
            <w:r>
              <w:rPr>
                <w:rFonts w:hint="eastAsia" w:asciiTheme="majorEastAsia" w:hAnsiTheme="majorEastAsia" w:eastAsiaTheme="majorEastAsia" w:cstheme="majorEastAsia"/>
                <w:bCs/>
                <w:sz w:val="20"/>
              </w:rPr>
              <w:t>万元，增值率</w:t>
            </w:r>
            <w:r>
              <w:rPr>
                <w:rFonts w:asciiTheme="majorEastAsia" w:hAnsiTheme="majorEastAsia" w:eastAsiaTheme="majorEastAsia" w:cstheme="majorEastAsia"/>
                <w:bCs/>
                <w:sz w:val="20"/>
              </w:rPr>
              <w:t>152.18%</w:t>
            </w:r>
            <w:r>
              <w:rPr>
                <w:rFonts w:hint="eastAsia" w:asciiTheme="majorEastAsia" w:hAnsiTheme="majorEastAsia" w:eastAsiaTheme="majorEastAsia" w:cstheme="majorEastAsia"/>
                <w:bCs/>
                <w:sz w:val="20"/>
              </w:rPr>
              <w:t>。</w:t>
            </w:r>
          </w:p>
          <w:p>
            <w:pPr>
              <w:widowControl/>
              <w:jc w:val="left"/>
              <w:rPr>
                <w:rFonts w:asciiTheme="minorEastAsia" w:hAnsiTheme="minorEastAsia" w:eastAsiaTheme="minorEastAsia" w:cstheme="minorEastAsia"/>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99" w:type="dxa"/>
            <w:vMerge w:val="restart"/>
            <w:vAlign w:val="center"/>
          </w:tcPr>
          <w:p>
            <w:pPr>
              <w:jc w:val="center"/>
              <w:rPr>
                <w:rFonts w:ascii="宋体" w:hAnsi="宋体" w:cs="宋体"/>
                <w:bCs/>
                <w:sz w:val="20"/>
              </w:rPr>
            </w:pPr>
            <w:r>
              <w:rPr>
                <w:rFonts w:hint="eastAsia" w:ascii="宋体" w:hAnsi="宋体" w:cs="宋体"/>
                <w:bCs/>
                <w:sz w:val="20"/>
              </w:rPr>
              <w:t>6</w:t>
            </w:r>
          </w:p>
        </w:tc>
        <w:tc>
          <w:tcPr>
            <w:tcW w:w="1473" w:type="dxa"/>
            <w:vMerge w:val="restart"/>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52" w:type="dxa"/>
            <w:vAlign w:val="center"/>
          </w:tcPr>
          <w:p>
            <w:pPr>
              <w:widowControl/>
              <w:ind w:firstLine="200" w:firstLineChars="100"/>
              <w:jc w:val="left"/>
              <w:rPr>
                <w:rFonts w:ascii="宋体" w:hAnsi="宋体" w:cs="宋体"/>
                <w:bCs/>
                <w:sz w:val="20"/>
                <w:szCs w:val="22"/>
              </w:rPr>
            </w:pPr>
            <w:r>
              <w:rPr>
                <w:rFonts w:hint="eastAsia" w:ascii="宋体" w:hAnsi="宋体" w:cs="宋体"/>
                <w:bCs/>
                <w:sz w:val="20"/>
                <w:szCs w:val="22"/>
              </w:rPr>
              <w:t>项  目</w:t>
            </w:r>
          </w:p>
        </w:tc>
        <w:tc>
          <w:tcPr>
            <w:tcW w:w="1247" w:type="dxa"/>
            <w:vAlign w:val="center"/>
          </w:tcPr>
          <w:p>
            <w:pPr>
              <w:widowControl/>
              <w:ind w:firstLine="100" w:firstLineChars="50"/>
              <w:jc w:val="left"/>
              <w:rPr>
                <w:rFonts w:ascii="宋体" w:hAnsi="宋体" w:cs="宋体"/>
                <w:bCs/>
                <w:sz w:val="20"/>
                <w:szCs w:val="22"/>
              </w:rPr>
            </w:pPr>
            <w:r>
              <w:rPr>
                <w:rFonts w:hint="eastAsia" w:ascii="宋体" w:hAnsi="宋体" w:cs="宋体"/>
                <w:bCs/>
                <w:sz w:val="20"/>
                <w:szCs w:val="22"/>
              </w:rPr>
              <w:t>账面价值</w:t>
            </w:r>
          </w:p>
        </w:tc>
        <w:tc>
          <w:tcPr>
            <w:tcW w:w="1460" w:type="dxa"/>
            <w:vAlign w:val="center"/>
          </w:tcPr>
          <w:p>
            <w:pPr>
              <w:widowControl/>
              <w:jc w:val="left"/>
              <w:rPr>
                <w:rFonts w:ascii="宋体" w:hAnsi="宋体" w:cs="宋体"/>
                <w:bCs/>
                <w:sz w:val="20"/>
                <w:szCs w:val="22"/>
              </w:rPr>
            </w:pPr>
            <w:r>
              <w:rPr>
                <w:rFonts w:hint="eastAsia" w:ascii="宋体" w:hAnsi="宋体" w:cs="宋体"/>
                <w:bCs/>
                <w:sz w:val="20"/>
                <w:szCs w:val="22"/>
              </w:rPr>
              <w:t>评估值（含税）</w:t>
            </w:r>
          </w:p>
        </w:tc>
        <w:tc>
          <w:tcPr>
            <w:tcW w:w="1146" w:type="dxa"/>
            <w:vAlign w:val="center"/>
          </w:tcPr>
          <w:p>
            <w:pPr>
              <w:widowControl/>
              <w:jc w:val="left"/>
              <w:rPr>
                <w:rFonts w:ascii="宋体" w:hAnsi="宋体" w:cs="宋体"/>
                <w:bCs/>
                <w:sz w:val="20"/>
                <w:szCs w:val="22"/>
              </w:rPr>
            </w:pPr>
            <w:r>
              <w:rPr>
                <w:rFonts w:hint="eastAsia" w:ascii="宋体" w:hAnsi="宋体" w:cs="宋体"/>
                <w:bCs/>
                <w:sz w:val="20"/>
                <w:szCs w:val="22"/>
              </w:rPr>
              <w:t>增值额</w:t>
            </w:r>
          </w:p>
        </w:tc>
        <w:tc>
          <w:tcPr>
            <w:tcW w:w="1883" w:type="dxa"/>
            <w:vAlign w:val="center"/>
          </w:tcPr>
          <w:p>
            <w:pPr>
              <w:widowControl/>
              <w:jc w:val="left"/>
              <w:rPr>
                <w:rFonts w:ascii="宋体" w:hAnsi="宋体" w:cs="宋体"/>
                <w:bCs/>
                <w:sz w:val="20"/>
                <w:szCs w:val="22"/>
              </w:rPr>
            </w:pPr>
            <w:r>
              <w:rPr>
                <w:rFonts w:hint="eastAsia" w:ascii="宋体" w:hAnsi="宋体" w:cs="宋体"/>
                <w:bCs/>
                <w:sz w:val="20"/>
                <w:szCs w:val="22"/>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99" w:type="dxa"/>
            <w:vMerge w:val="continue"/>
            <w:vAlign w:val="center"/>
          </w:tcPr>
          <w:p>
            <w:pPr>
              <w:jc w:val="center"/>
              <w:rPr>
                <w:rFonts w:ascii="宋体" w:hAnsi="宋体" w:cs="宋体"/>
                <w:bCs/>
                <w:sz w:val="20"/>
              </w:rPr>
            </w:pPr>
          </w:p>
        </w:tc>
        <w:tc>
          <w:tcPr>
            <w:tcW w:w="1473" w:type="dxa"/>
            <w:vMerge w:val="continue"/>
            <w:vAlign w:val="center"/>
          </w:tcPr>
          <w:p>
            <w:pPr>
              <w:jc w:val="center"/>
              <w:rPr>
                <w:rFonts w:ascii="宋体" w:hAnsi="宋体" w:cs="宋体"/>
                <w:bCs/>
                <w:sz w:val="20"/>
              </w:rPr>
            </w:pPr>
          </w:p>
        </w:tc>
        <w:tc>
          <w:tcPr>
            <w:tcW w:w="1252" w:type="dxa"/>
            <w:vAlign w:val="center"/>
          </w:tcPr>
          <w:p>
            <w:pPr>
              <w:jc w:val="center"/>
              <w:rPr>
                <w:rFonts w:ascii="宋体" w:hAnsi="宋体" w:cs="宋体"/>
                <w:bCs/>
                <w:sz w:val="20"/>
              </w:rPr>
            </w:pPr>
            <w:r>
              <w:rPr>
                <w:rFonts w:hint="eastAsia" w:ascii="宋体" w:hAnsi="宋体" w:cs="宋体"/>
                <w:bCs/>
                <w:sz w:val="20"/>
              </w:rPr>
              <w:t>建筑物及地上物价值</w:t>
            </w:r>
          </w:p>
        </w:tc>
        <w:tc>
          <w:tcPr>
            <w:tcW w:w="1247" w:type="dxa"/>
            <w:vAlign w:val="center"/>
          </w:tcPr>
          <w:p>
            <w:pPr>
              <w:jc w:val="center"/>
              <w:rPr>
                <w:rFonts w:ascii="宋体" w:hAnsi="宋体" w:cs="宋体"/>
                <w:bCs/>
                <w:sz w:val="20"/>
              </w:rPr>
            </w:pPr>
            <w:r>
              <w:rPr>
                <w:rFonts w:asciiTheme="majorEastAsia" w:hAnsiTheme="majorEastAsia" w:eastAsiaTheme="majorEastAsia" w:cstheme="majorEastAsia"/>
                <w:bCs/>
                <w:szCs w:val="21"/>
              </w:rPr>
              <w:t>2,999.93</w:t>
            </w:r>
          </w:p>
        </w:tc>
        <w:tc>
          <w:tcPr>
            <w:tcW w:w="1460" w:type="dxa"/>
            <w:vAlign w:val="center"/>
          </w:tcPr>
          <w:p>
            <w:pPr>
              <w:jc w:val="center"/>
              <w:rPr>
                <w:rFonts w:ascii="宋体" w:hAnsi="宋体" w:cs="宋体"/>
                <w:bCs/>
                <w:sz w:val="20"/>
              </w:rPr>
            </w:pPr>
            <w:r>
              <w:rPr>
                <w:rFonts w:asciiTheme="minorEastAsia" w:hAnsiTheme="minorEastAsia" w:eastAsiaTheme="minorEastAsia" w:cstheme="minorEastAsia"/>
                <w:szCs w:val="21"/>
              </w:rPr>
              <w:t>7</w:t>
            </w:r>
            <w:r>
              <w:rPr>
                <w:rFonts w:asciiTheme="majorEastAsia" w:hAnsiTheme="majorEastAsia" w:eastAsiaTheme="majorEastAsia" w:cstheme="majorEastAsia"/>
                <w:bCs/>
                <w:szCs w:val="21"/>
              </w:rPr>
              <w:t>,</w:t>
            </w:r>
            <w:r>
              <w:rPr>
                <w:rFonts w:asciiTheme="minorEastAsia" w:hAnsiTheme="minorEastAsia" w:eastAsiaTheme="minorEastAsia" w:cstheme="minorEastAsia"/>
                <w:szCs w:val="21"/>
              </w:rPr>
              <w:t>565.33</w:t>
            </w:r>
          </w:p>
        </w:tc>
        <w:tc>
          <w:tcPr>
            <w:tcW w:w="1146" w:type="dxa"/>
            <w:vAlign w:val="center"/>
          </w:tcPr>
          <w:p>
            <w:pPr>
              <w:jc w:val="center"/>
              <w:rPr>
                <w:rFonts w:ascii="宋体" w:hAnsi="宋体" w:cs="宋体"/>
                <w:bCs/>
                <w:sz w:val="20"/>
              </w:rPr>
            </w:pPr>
            <w:r>
              <w:rPr>
                <w:rFonts w:ascii="宋体" w:hAnsi="宋体" w:cs="宋体"/>
                <w:bCs/>
                <w:sz w:val="20"/>
              </w:rPr>
              <w:t>4</w:t>
            </w:r>
            <w:r>
              <w:rPr>
                <w:rFonts w:hint="eastAsia" w:ascii="宋体" w:hAnsi="宋体" w:cs="宋体"/>
                <w:bCs/>
                <w:sz w:val="20"/>
              </w:rPr>
              <w:t>,</w:t>
            </w:r>
            <w:r>
              <w:rPr>
                <w:rFonts w:ascii="宋体" w:hAnsi="宋体" w:cs="宋体"/>
                <w:bCs/>
                <w:sz w:val="20"/>
              </w:rPr>
              <w:t>565.40</w:t>
            </w:r>
          </w:p>
        </w:tc>
        <w:tc>
          <w:tcPr>
            <w:tcW w:w="1883" w:type="dxa"/>
            <w:vAlign w:val="center"/>
          </w:tcPr>
          <w:p>
            <w:pPr>
              <w:jc w:val="center"/>
              <w:rPr>
                <w:rFonts w:ascii="宋体" w:hAnsi="宋体" w:cs="宋体"/>
                <w:bCs/>
                <w:sz w:val="20"/>
              </w:rPr>
            </w:pPr>
            <w:r>
              <w:rPr>
                <w:rFonts w:ascii="宋体" w:hAnsi="宋体" w:cs="宋体"/>
                <w:bCs/>
                <w:sz w:val="20"/>
              </w:rPr>
              <w:t>152.18%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9" w:type="dxa"/>
            <w:vAlign w:val="center"/>
          </w:tcPr>
          <w:p>
            <w:pPr>
              <w:jc w:val="center"/>
              <w:rPr>
                <w:rFonts w:ascii="宋体" w:hAnsi="宋体" w:cs="宋体"/>
                <w:bCs/>
                <w:sz w:val="20"/>
              </w:rPr>
            </w:pPr>
            <w:r>
              <w:rPr>
                <w:rFonts w:hint="eastAsia" w:ascii="宋体" w:hAnsi="宋体" w:cs="宋体"/>
                <w:bCs/>
                <w:sz w:val="20"/>
              </w:rPr>
              <w:t>7</w:t>
            </w:r>
          </w:p>
        </w:tc>
        <w:tc>
          <w:tcPr>
            <w:tcW w:w="1473" w:type="dxa"/>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988" w:type="dxa"/>
            <w:gridSpan w:val="5"/>
            <w:vAlign w:val="center"/>
          </w:tcPr>
          <w:p>
            <w:pPr>
              <w:jc w:val="left"/>
              <w:rPr>
                <w:rFonts w:ascii="宋体" w:hAnsi="宋体" w:cs="宋体"/>
                <w:bCs/>
                <w:sz w:val="20"/>
              </w:rPr>
            </w:pPr>
            <w:r>
              <w:rPr>
                <w:rFonts w:hint="eastAsia" w:ascii="宋体" w:hAnsi="宋体" w:cs="宋体"/>
                <w:bCs/>
                <w:sz w:val="20"/>
              </w:rPr>
              <w:t>评估决策依据、比选评估机构资料及评估报告初稿纸质及电子资料在中国煤炭地质总局资产财务部。</w:t>
            </w:r>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xOWFiNmNjZWJlNDkwNjRhMzVlMjdiNzk2ZDFjNWQifQ=="/>
  </w:docVars>
  <w:rsids>
    <w:rsidRoot w:val="00EC6A99"/>
    <w:rsid w:val="00017B22"/>
    <w:rsid w:val="00061E10"/>
    <w:rsid w:val="000878A5"/>
    <w:rsid w:val="00102290"/>
    <w:rsid w:val="001862C9"/>
    <w:rsid w:val="001C0C98"/>
    <w:rsid w:val="00254B73"/>
    <w:rsid w:val="00276C17"/>
    <w:rsid w:val="003351A5"/>
    <w:rsid w:val="0038483E"/>
    <w:rsid w:val="00395CD8"/>
    <w:rsid w:val="003D08D1"/>
    <w:rsid w:val="003D2C58"/>
    <w:rsid w:val="004806EF"/>
    <w:rsid w:val="004F004A"/>
    <w:rsid w:val="004F404E"/>
    <w:rsid w:val="00521720"/>
    <w:rsid w:val="00547A41"/>
    <w:rsid w:val="005D0A16"/>
    <w:rsid w:val="005F4EA4"/>
    <w:rsid w:val="005F6EEA"/>
    <w:rsid w:val="00646445"/>
    <w:rsid w:val="00655700"/>
    <w:rsid w:val="00665BF5"/>
    <w:rsid w:val="0068540A"/>
    <w:rsid w:val="006C726E"/>
    <w:rsid w:val="0075778B"/>
    <w:rsid w:val="00786A21"/>
    <w:rsid w:val="008917DC"/>
    <w:rsid w:val="008C0CCD"/>
    <w:rsid w:val="008E0DE0"/>
    <w:rsid w:val="00914ADE"/>
    <w:rsid w:val="009240EF"/>
    <w:rsid w:val="009A1497"/>
    <w:rsid w:val="009E56D8"/>
    <w:rsid w:val="00A36288"/>
    <w:rsid w:val="00A610E4"/>
    <w:rsid w:val="00AA47B4"/>
    <w:rsid w:val="00AE451E"/>
    <w:rsid w:val="00B32F90"/>
    <w:rsid w:val="00B4619F"/>
    <w:rsid w:val="00BA6CB6"/>
    <w:rsid w:val="00C061FD"/>
    <w:rsid w:val="00CB5C65"/>
    <w:rsid w:val="00CF1462"/>
    <w:rsid w:val="00D36A2C"/>
    <w:rsid w:val="00DB5298"/>
    <w:rsid w:val="00DD77CF"/>
    <w:rsid w:val="00DF0738"/>
    <w:rsid w:val="00E6136B"/>
    <w:rsid w:val="00E8293C"/>
    <w:rsid w:val="00E92915"/>
    <w:rsid w:val="00EA5866"/>
    <w:rsid w:val="00EC6A99"/>
    <w:rsid w:val="00F3454A"/>
    <w:rsid w:val="00F468F7"/>
    <w:rsid w:val="00F47687"/>
    <w:rsid w:val="00F836B1"/>
    <w:rsid w:val="00FF5AFB"/>
    <w:rsid w:val="15B226B8"/>
    <w:rsid w:val="177B1511"/>
    <w:rsid w:val="2EC44612"/>
    <w:rsid w:val="43F509D9"/>
    <w:rsid w:val="4A5E6DB3"/>
    <w:rsid w:val="4BF97F70"/>
    <w:rsid w:val="55BD1C66"/>
    <w:rsid w:val="56837C33"/>
    <w:rsid w:val="5A5653B1"/>
    <w:rsid w:val="5BEC6C89"/>
    <w:rsid w:val="61D2789E"/>
    <w:rsid w:val="6F8D5088"/>
    <w:rsid w:val="77742719"/>
    <w:rsid w:val="77CE7124"/>
    <w:rsid w:val="7EE21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1215</Words>
  <Characters>1366</Characters>
  <Lines>11</Lines>
  <Paragraphs>3</Paragraphs>
  <TotalTime>12</TotalTime>
  <ScaleCrop>false</ScaleCrop>
  <LinksUpToDate>false</LinksUpToDate>
  <CharactersWithSpaces>1405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2022-11-02T07:45:00Z</dcterms:created>
  <dc:creator>赵龙</dc:creator>
  <cp:lastModifiedBy>薛菲</cp:lastModifiedBy>
  <cp:lastPrinted>2022-11-09T01:51:00Z</cp:lastPrinted>
  <dcterms:modified xsi:type="dcterms:W3CDTF">2022-11-11T00:47:09Z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9CAC9E612669490A9A09E9104C5FF8F3</vt:lpwstr>
  </property>
</Properties>
</file>