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sz w:val="28"/>
          <w:szCs w:val="28"/>
        </w:rPr>
      </w:pPr>
      <w:r>
        <w:rPr>
          <w:rFonts w:hint="eastAsia" w:ascii="黑体" w:hAnsi="黑体" w:eastAsia="黑体" w:cs="黑体"/>
          <w:bCs/>
          <w:sz w:val="28"/>
          <w:szCs w:val="28"/>
        </w:rPr>
        <w:t>附件：</w:t>
      </w:r>
    </w:p>
    <w:p>
      <w:pPr>
        <w:jc w:val="center"/>
        <w:rPr>
          <w:rFonts w:ascii="宋体" w:hAnsi="宋体" w:cs="宋体"/>
          <w:bCs/>
          <w:sz w:val="20"/>
        </w:rPr>
      </w:pPr>
      <w:r>
        <w:rPr>
          <w:rFonts w:hint="eastAsia" w:ascii="黑体" w:hAnsi="黑体" w:eastAsia="黑体" w:cs="黑体"/>
          <w:bCs/>
          <w:sz w:val="30"/>
          <w:szCs w:val="30"/>
        </w:rPr>
        <w:t>中国煤炭地质总局资产评估项目公示表</w:t>
      </w:r>
    </w:p>
    <w:p>
      <w:pPr>
        <w:rPr>
          <w:rFonts w:ascii="宋体" w:hAnsi="宋体" w:cs="宋体"/>
          <w:bCs/>
          <w:sz w:val="20"/>
        </w:rPr>
      </w:pPr>
      <w:r>
        <w:rPr>
          <w:rFonts w:hint="eastAsia" w:ascii="宋体" w:hAnsi="宋体" w:cs="宋体"/>
          <w:bCs/>
          <w:sz w:val="20"/>
        </w:rPr>
        <w:t>评估项目：中煤地质集团有限公司涿州科技园土地资产和在建工程资产评估项目</w:t>
      </w:r>
    </w:p>
    <w:p>
      <w:pPr>
        <w:rPr>
          <w:rFonts w:ascii="宋体" w:hAnsi="宋体" w:cs="宋体"/>
          <w:bCs/>
          <w:sz w:val="20"/>
        </w:rPr>
      </w:pPr>
      <w:r>
        <w:rPr>
          <w:rFonts w:hint="eastAsia" w:ascii="宋体" w:hAnsi="宋体" w:cs="宋体"/>
          <w:bCs/>
          <w:sz w:val="20"/>
        </w:rPr>
        <w:t>公示期限：2021年6月</w:t>
      </w:r>
      <w:r>
        <w:rPr>
          <w:rFonts w:hint="eastAsia" w:ascii="宋体" w:hAnsi="宋体" w:cs="宋体"/>
          <w:bCs/>
          <w:sz w:val="20"/>
          <w:lang w:val="en-US" w:eastAsia="zh-CN"/>
        </w:rPr>
        <w:t>9</w:t>
      </w:r>
      <w:r>
        <w:rPr>
          <w:rFonts w:hint="eastAsia" w:ascii="宋体" w:hAnsi="宋体" w:cs="宋体"/>
          <w:bCs/>
          <w:sz w:val="20"/>
        </w:rPr>
        <w:t>日至2021年6月1</w:t>
      </w:r>
      <w:r>
        <w:rPr>
          <w:rFonts w:hint="eastAsia" w:ascii="宋体" w:hAnsi="宋体" w:cs="宋体"/>
          <w:bCs/>
          <w:sz w:val="20"/>
          <w:lang w:val="en-US" w:eastAsia="zh-CN"/>
        </w:rPr>
        <w:t>6</w:t>
      </w:r>
      <w:r>
        <w:rPr>
          <w:rFonts w:hint="eastAsia" w:ascii="宋体" w:hAnsi="宋体" w:cs="宋体"/>
          <w:bCs/>
          <w:sz w:val="20"/>
        </w:rPr>
        <w:t>日</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1635"/>
        <w:gridCol w:w="1295"/>
        <w:gridCol w:w="1210"/>
        <w:gridCol w:w="1260"/>
        <w:gridCol w:w="1230"/>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04" w:type="dxa"/>
            <w:noWrap w:val="0"/>
            <w:vAlign w:val="center"/>
          </w:tcPr>
          <w:p>
            <w:pPr>
              <w:jc w:val="center"/>
              <w:rPr>
                <w:rFonts w:ascii="宋体" w:hAnsi="宋体" w:cs="宋体"/>
                <w:bCs/>
                <w:sz w:val="20"/>
              </w:rPr>
            </w:pPr>
            <w:r>
              <w:rPr>
                <w:rFonts w:hint="eastAsia" w:ascii="宋体" w:hAnsi="宋体" w:cs="宋体"/>
                <w:bCs/>
                <w:sz w:val="20"/>
              </w:rPr>
              <w:t>序号</w:t>
            </w:r>
          </w:p>
        </w:tc>
        <w:tc>
          <w:tcPr>
            <w:tcW w:w="1635" w:type="dxa"/>
            <w:noWrap w:val="0"/>
            <w:vAlign w:val="center"/>
          </w:tcPr>
          <w:p>
            <w:pPr>
              <w:jc w:val="center"/>
              <w:rPr>
                <w:rFonts w:ascii="宋体" w:hAnsi="宋体" w:cs="宋体"/>
                <w:bCs/>
                <w:sz w:val="20"/>
              </w:rPr>
            </w:pPr>
            <w:r>
              <w:rPr>
                <w:rFonts w:hint="eastAsia" w:ascii="宋体" w:hAnsi="宋体" w:cs="宋体"/>
                <w:bCs/>
                <w:sz w:val="20"/>
              </w:rPr>
              <w:t>公示项目</w:t>
            </w:r>
          </w:p>
        </w:tc>
        <w:tc>
          <w:tcPr>
            <w:tcW w:w="6381" w:type="dxa"/>
            <w:gridSpan w:val="5"/>
            <w:noWrap w:val="0"/>
            <w:vAlign w:val="center"/>
          </w:tcPr>
          <w:p>
            <w:pPr>
              <w:jc w:val="center"/>
              <w:rPr>
                <w:rFonts w:ascii="宋体" w:hAnsi="宋体" w:cs="宋体"/>
                <w:bCs/>
                <w:sz w:val="20"/>
              </w:rPr>
            </w:pPr>
            <w:r>
              <w:rPr>
                <w:rFonts w:hint="eastAsia" w:ascii="宋体" w:hAnsi="宋体" w:cs="宋体"/>
                <w:bCs/>
                <w:sz w:val="20"/>
              </w:rPr>
              <w:t>公示内容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504" w:type="dxa"/>
            <w:noWrap w:val="0"/>
            <w:vAlign w:val="center"/>
          </w:tcPr>
          <w:p>
            <w:pPr>
              <w:jc w:val="center"/>
              <w:rPr>
                <w:rFonts w:ascii="宋体" w:hAnsi="宋体" w:cs="宋体"/>
                <w:bCs/>
                <w:sz w:val="20"/>
              </w:rPr>
            </w:pPr>
            <w:r>
              <w:rPr>
                <w:rFonts w:hint="eastAsia" w:ascii="宋体" w:hAnsi="宋体" w:cs="宋体"/>
                <w:bCs/>
                <w:sz w:val="20"/>
              </w:rPr>
              <w:t>1</w:t>
            </w:r>
          </w:p>
        </w:tc>
        <w:tc>
          <w:tcPr>
            <w:tcW w:w="1635" w:type="dxa"/>
            <w:noWrap w:val="0"/>
            <w:vAlign w:val="center"/>
          </w:tcPr>
          <w:p>
            <w:pPr>
              <w:jc w:val="center"/>
              <w:rPr>
                <w:rFonts w:ascii="宋体" w:hAnsi="宋体" w:cs="宋体"/>
                <w:bCs/>
                <w:sz w:val="20"/>
              </w:rPr>
            </w:pPr>
            <w:r>
              <w:rPr>
                <w:rFonts w:hint="eastAsia" w:ascii="宋体" w:hAnsi="宋体" w:cs="宋体"/>
                <w:bCs/>
                <w:sz w:val="20"/>
              </w:rPr>
              <w:t>经济行为批准</w:t>
            </w:r>
          </w:p>
          <w:p>
            <w:pPr>
              <w:jc w:val="center"/>
              <w:rPr>
                <w:rFonts w:ascii="宋体" w:hAnsi="宋体" w:cs="宋体"/>
                <w:bCs/>
                <w:sz w:val="20"/>
              </w:rPr>
            </w:pPr>
            <w:r>
              <w:rPr>
                <w:rFonts w:hint="eastAsia" w:ascii="宋体" w:hAnsi="宋体" w:cs="宋体"/>
                <w:bCs/>
                <w:sz w:val="20"/>
              </w:rPr>
              <w:t>文件</w:t>
            </w:r>
          </w:p>
        </w:tc>
        <w:tc>
          <w:tcPr>
            <w:tcW w:w="6381" w:type="dxa"/>
            <w:gridSpan w:val="5"/>
            <w:noWrap w:val="0"/>
            <w:vAlign w:val="center"/>
          </w:tcPr>
          <w:p>
            <w:pPr>
              <w:rPr>
                <w:rFonts w:ascii="宋体" w:hAnsi="宋体" w:cs="宋体"/>
                <w:bCs/>
                <w:sz w:val="20"/>
              </w:rPr>
            </w:pPr>
            <w:r>
              <w:rPr>
                <w:rFonts w:hint="eastAsia" w:ascii="宋体" w:hAnsi="宋体" w:cs="宋体"/>
                <w:bCs/>
                <w:sz w:val="20"/>
              </w:rPr>
              <w:t>中国煤炭地质总局关于中煤地质集团有限公司涿州科技园土地资产和在建工程资产评估的批复（中煤地办发财务〔2020〕98号）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504" w:type="dxa"/>
            <w:noWrap w:val="0"/>
            <w:vAlign w:val="center"/>
          </w:tcPr>
          <w:p>
            <w:pPr>
              <w:jc w:val="center"/>
              <w:rPr>
                <w:rFonts w:ascii="宋体" w:hAnsi="宋体" w:cs="宋体"/>
                <w:bCs/>
                <w:sz w:val="20"/>
              </w:rPr>
            </w:pPr>
            <w:r>
              <w:rPr>
                <w:rFonts w:hint="eastAsia" w:ascii="宋体" w:hAnsi="宋体" w:cs="宋体"/>
                <w:bCs/>
                <w:sz w:val="20"/>
              </w:rPr>
              <w:t>2</w:t>
            </w:r>
          </w:p>
        </w:tc>
        <w:tc>
          <w:tcPr>
            <w:tcW w:w="1635" w:type="dxa"/>
            <w:noWrap w:val="0"/>
            <w:vAlign w:val="center"/>
          </w:tcPr>
          <w:p>
            <w:pPr>
              <w:jc w:val="center"/>
              <w:rPr>
                <w:rFonts w:ascii="宋体" w:hAnsi="宋体" w:cs="宋体"/>
                <w:bCs/>
                <w:sz w:val="20"/>
              </w:rPr>
            </w:pPr>
            <w:r>
              <w:rPr>
                <w:rFonts w:hint="eastAsia" w:ascii="宋体" w:hAnsi="宋体" w:cs="宋体"/>
                <w:bCs/>
                <w:sz w:val="20"/>
              </w:rPr>
              <w:t>评估机构选聘</w:t>
            </w:r>
          </w:p>
          <w:p>
            <w:pPr>
              <w:jc w:val="center"/>
              <w:rPr>
                <w:rFonts w:ascii="宋体" w:hAnsi="宋体" w:cs="宋体"/>
                <w:bCs/>
                <w:sz w:val="20"/>
              </w:rPr>
            </w:pPr>
            <w:r>
              <w:rPr>
                <w:rFonts w:hint="eastAsia" w:ascii="宋体" w:hAnsi="宋体" w:cs="宋体"/>
                <w:bCs/>
                <w:sz w:val="20"/>
              </w:rPr>
              <w:t>方式</w:t>
            </w:r>
          </w:p>
        </w:tc>
        <w:tc>
          <w:tcPr>
            <w:tcW w:w="6381" w:type="dxa"/>
            <w:gridSpan w:val="5"/>
            <w:noWrap w:val="0"/>
            <w:vAlign w:val="center"/>
          </w:tcPr>
          <w:p>
            <w:pPr>
              <w:rPr>
                <w:rFonts w:ascii="宋体" w:hAnsi="宋体" w:cs="宋体"/>
                <w:bCs/>
                <w:sz w:val="20"/>
              </w:rPr>
            </w:pPr>
            <w:r>
              <w:rPr>
                <w:rFonts w:hint="eastAsia" w:ascii="宋体" w:hAnsi="宋体" w:cs="宋体"/>
                <w:bCs/>
                <w:sz w:val="20"/>
              </w:rPr>
              <w:t>总局资产财务部拟定比选通知并发放给总局评估机构备选库中具有资产评估资质的评估机构，并组织相关部门召开评估机构比选会议，对评估机构报送的评估方案进行审查，比选出符合要求的评估机构。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04" w:type="dxa"/>
            <w:noWrap w:val="0"/>
            <w:vAlign w:val="center"/>
          </w:tcPr>
          <w:p>
            <w:pPr>
              <w:jc w:val="center"/>
              <w:rPr>
                <w:rFonts w:ascii="宋体" w:hAnsi="宋体" w:cs="宋体"/>
                <w:bCs/>
                <w:sz w:val="20"/>
              </w:rPr>
            </w:pPr>
          </w:p>
          <w:p>
            <w:pPr>
              <w:jc w:val="center"/>
              <w:rPr>
                <w:rFonts w:ascii="宋体" w:hAnsi="宋体" w:cs="宋体"/>
                <w:bCs/>
                <w:sz w:val="20"/>
              </w:rPr>
            </w:pPr>
            <w:r>
              <w:rPr>
                <w:rFonts w:hint="eastAsia" w:ascii="宋体" w:hAnsi="宋体" w:cs="宋体"/>
                <w:bCs/>
                <w:sz w:val="20"/>
              </w:rPr>
              <w:t>3</w:t>
            </w:r>
          </w:p>
        </w:tc>
        <w:tc>
          <w:tcPr>
            <w:tcW w:w="1635" w:type="dxa"/>
            <w:noWrap w:val="0"/>
            <w:vAlign w:val="center"/>
          </w:tcPr>
          <w:p>
            <w:pPr>
              <w:jc w:val="center"/>
              <w:rPr>
                <w:rFonts w:ascii="宋体" w:hAnsi="宋体" w:cs="宋体"/>
                <w:bCs/>
                <w:sz w:val="20"/>
              </w:rPr>
            </w:pPr>
            <w:r>
              <w:rPr>
                <w:rFonts w:hint="eastAsia" w:ascii="宋体" w:hAnsi="宋体" w:cs="宋体"/>
                <w:bCs/>
                <w:sz w:val="20"/>
              </w:rPr>
              <w:t>评估机构及评估师资质</w:t>
            </w:r>
          </w:p>
        </w:tc>
        <w:tc>
          <w:tcPr>
            <w:tcW w:w="6381" w:type="dxa"/>
            <w:gridSpan w:val="5"/>
            <w:noWrap w:val="0"/>
            <w:vAlign w:val="center"/>
          </w:tcPr>
          <w:p>
            <w:pPr>
              <w:rPr>
                <w:rFonts w:ascii="宋体" w:hAnsi="宋体" w:cs="宋体"/>
                <w:bCs/>
                <w:sz w:val="20"/>
              </w:rPr>
            </w:pPr>
            <w:r>
              <w:rPr>
                <w:rFonts w:hint="eastAsia" w:ascii="宋体" w:hAnsi="宋体" w:cs="宋体"/>
                <w:bCs/>
                <w:sz w:val="20"/>
              </w:rPr>
              <w:t>北京仁达房地产土地资产评估有限公司：袁艺，</w:t>
            </w:r>
            <w:r>
              <w:rPr>
                <w:rFonts w:ascii="宋体" w:hAnsi="宋体" w:cs="宋体"/>
                <w:bCs/>
                <w:sz w:val="20"/>
              </w:rPr>
              <w:t>1120110076</w:t>
            </w:r>
            <w:r>
              <w:rPr>
                <w:rFonts w:hint="eastAsia" w:ascii="宋体" w:hAnsi="宋体" w:cs="宋体"/>
                <w:bCs/>
                <w:sz w:val="20"/>
              </w:rPr>
              <w:t>；赵江峰，</w:t>
            </w:r>
            <w:r>
              <w:rPr>
                <w:rFonts w:ascii="宋体" w:hAnsi="宋体" w:cs="宋体"/>
                <w:bCs/>
                <w:sz w:val="20"/>
              </w:rPr>
              <w:t>1120130093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504" w:type="dxa"/>
            <w:noWrap w:val="0"/>
            <w:vAlign w:val="center"/>
          </w:tcPr>
          <w:p>
            <w:pPr>
              <w:jc w:val="center"/>
              <w:rPr>
                <w:rFonts w:ascii="宋体" w:hAnsi="宋体" w:cs="宋体"/>
                <w:bCs/>
                <w:sz w:val="20"/>
              </w:rPr>
            </w:pPr>
            <w:r>
              <w:rPr>
                <w:rFonts w:hint="eastAsia" w:ascii="宋体" w:hAnsi="宋体" w:cs="宋体"/>
                <w:bCs/>
                <w:sz w:val="20"/>
              </w:rPr>
              <w:t>4</w:t>
            </w:r>
          </w:p>
        </w:tc>
        <w:tc>
          <w:tcPr>
            <w:tcW w:w="1635" w:type="dxa"/>
            <w:noWrap w:val="0"/>
            <w:vAlign w:val="center"/>
          </w:tcPr>
          <w:p>
            <w:pPr>
              <w:jc w:val="center"/>
              <w:rPr>
                <w:rFonts w:ascii="宋体" w:hAnsi="宋体" w:cs="宋体"/>
                <w:bCs/>
                <w:sz w:val="20"/>
              </w:rPr>
            </w:pPr>
            <w:r>
              <w:rPr>
                <w:rFonts w:hint="eastAsia" w:ascii="宋体" w:hAnsi="宋体" w:cs="宋体"/>
                <w:bCs/>
                <w:sz w:val="20"/>
              </w:rPr>
              <w:t>评估程序履行及独立第三方评估机构审核情况</w:t>
            </w:r>
          </w:p>
        </w:tc>
        <w:tc>
          <w:tcPr>
            <w:tcW w:w="6381" w:type="dxa"/>
            <w:gridSpan w:val="5"/>
            <w:noWrap w:val="0"/>
            <w:vAlign w:val="center"/>
          </w:tcPr>
          <w:p>
            <w:pPr>
              <w:jc w:val="left"/>
              <w:rPr>
                <w:rFonts w:ascii="宋体" w:hAnsi="宋体" w:cs="宋体"/>
                <w:bCs/>
                <w:sz w:val="20"/>
              </w:rPr>
            </w:pPr>
            <w:r>
              <w:rPr>
                <w:rFonts w:hint="eastAsia" w:ascii="宋体" w:hAnsi="宋体" w:cs="宋体"/>
                <w:bCs/>
                <w:sz w:val="20"/>
              </w:rPr>
              <w:t>总局选聘北京仁达房地产土地资产评估有限公司对中煤地质集团有限公司涿州科技园土地资产和在建工程开展评估工作，委托北京中地华夏土地房地产评估有限公司对评估报告初稿进行了审核并出具了审核意见，评估公司针对审核意见进行了修订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4" w:hRule="atLeast"/>
        </w:trPr>
        <w:tc>
          <w:tcPr>
            <w:tcW w:w="504" w:type="dxa"/>
            <w:noWrap w:val="0"/>
            <w:vAlign w:val="center"/>
          </w:tcPr>
          <w:p>
            <w:pPr>
              <w:jc w:val="center"/>
              <w:rPr>
                <w:rFonts w:ascii="宋体" w:hAnsi="宋体" w:cs="宋体"/>
                <w:bCs/>
                <w:sz w:val="20"/>
              </w:rPr>
            </w:pPr>
            <w:r>
              <w:rPr>
                <w:rFonts w:hint="eastAsia" w:ascii="宋体" w:hAnsi="宋体" w:cs="宋体"/>
                <w:bCs/>
                <w:sz w:val="20"/>
              </w:rPr>
              <w:t>5</w:t>
            </w:r>
          </w:p>
        </w:tc>
        <w:tc>
          <w:tcPr>
            <w:tcW w:w="1635" w:type="dxa"/>
            <w:noWrap w:val="0"/>
            <w:vAlign w:val="center"/>
          </w:tcPr>
          <w:p>
            <w:pPr>
              <w:jc w:val="center"/>
              <w:rPr>
                <w:rFonts w:ascii="宋体" w:hAnsi="宋体" w:cs="宋体"/>
                <w:bCs/>
                <w:sz w:val="20"/>
              </w:rPr>
            </w:pPr>
            <w:r>
              <w:rPr>
                <w:rFonts w:hint="eastAsia" w:ascii="宋体" w:hAnsi="宋体" w:cs="宋体"/>
                <w:bCs/>
                <w:sz w:val="20"/>
              </w:rPr>
              <w:t>评估报告摘要和特别事项说明</w:t>
            </w:r>
          </w:p>
        </w:tc>
        <w:tc>
          <w:tcPr>
            <w:tcW w:w="6381" w:type="dxa"/>
            <w:gridSpan w:val="5"/>
            <w:noWrap w:val="0"/>
            <w:vAlign w:val="center"/>
          </w:tcPr>
          <w:p>
            <w:pPr>
              <w:jc w:val="left"/>
              <w:rPr>
                <w:rFonts w:ascii="宋体" w:hAnsi="宋体" w:cs="宋体"/>
                <w:bCs/>
                <w:sz w:val="20"/>
              </w:rPr>
            </w:pPr>
            <w:r>
              <w:rPr>
                <w:rFonts w:hint="eastAsia" w:ascii="宋体" w:hAnsi="宋体" w:cs="宋体"/>
                <w:bCs/>
                <w:sz w:val="20"/>
              </w:rPr>
              <w:t>北京仁达房地产土地资产评估有限公司接受总局的委托，对中煤地质集团有限公司涿州科技园土地资产和在建工程于2020年11月30日的市场价格开展评估。估价对象为中煤地质集团有限公司涿州科技园土地资产和在建工程在基准日的价值。本次评估的价值类型为市场价值。本项目对委估范围内的全部资产及负债的资料收集完整，结合本次评估目的，采用了成本法进行评估。评估过程包括评估前期准备工作阶段、评估现场清查阶段、评估汇总阶段、提交报告阶段。北京仁达房地产土地资产评估有限公司本着独立、公正、客观的原则，履行了资产评估法定的和必要的程序，得出评估结论如下：中煤地质集团有限公司涿州科技园土地资产和在建工程账面原值3637.75万元，评估值6609万元，评估增值2971.25万元，增值率81.68%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504" w:type="dxa"/>
            <w:vMerge w:val="restart"/>
            <w:noWrap w:val="0"/>
            <w:vAlign w:val="center"/>
          </w:tcPr>
          <w:p>
            <w:pPr>
              <w:jc w:val="center"/>
              <w:rPr>
                <w:rFonts w:ascii="宋体" w:hAnsi="宋体" w:cs="宋体"/>
                <w:bCs/>
                <w:sz w:val="20"/>
              </w:rPr>
            </w:pPr>
            <w:r>
              <w:rPr>
                <w:rFonts w:hint="eastAsia" w:ascii="宋体" w:hAnsi="宋体" w:cs="宋体"/>
                <w:bCs/>
                <w:sz w:val="20"/>
              </w:rPr>
              <w:t>6</w:t>
            </w:r>
          </w:p>
        </w:tc>
        <w:tc>
          <w:tcPr>
            <w:tcW w:w="1635" w:type="dxa"/>
            <w:vMerge w:val="restart"/>
            <w:noWrap w:val="0"/>
            <w:vAlign w:val="center"/>
          </w:tcPr>
          <w:p>
            <w:pPr>
              <w:jc w:val="center"/>
              <w:rPr>
                <w:rFonts w:ascii="宋体" w:hAnsi="宋体" w:cs="宋体"/>
                <w:bCs/>
                <w:sz w:val="20"/>
              </w:rPr>
            </w:pPr>
            <w:r>
              <w:rPr>
                <w:rFonts w:hint="eastAsia" w:ascii="宋体" w:hAnsi="宋体" w:cs="宋体"/>
                <w:bCs/>
                <w:sz w:val="20"/>
              </w:rPr>
              <w:t>评估结果汇总表</w:t>
            </w:r>
          </w:p>
          <w:p>
            <w:pPr>
              <w:jc w:val="center"/>
              <w:rPr>
                <w:rFonts w:ascii="宋体" w:hAnsi="宋体" w:cs="宋体"/>
                <w:bCs/>
                <w:sz w:val="20"/>
              </w:rPr>
            </w:pPr>
            <w:r>
              <w:rPr>
                <w:rFonts w:hint="eastAsia" w:ascii="宋体" w:hAnsi="宋体" w:cs="宋体"/>
                <w:bCs/>
                <w:sz w:val="20"/>
              </w:rPr>
              <w:t>（单位：万元）</w:t>
            </w:r>
          </w:p>
        </w:tc>
        <w:tc>
          <w:tcPr>
            <w:tcW w:w="1295" w:type="dxa"/>
            <w:noWrap w:val="0"/>
            <w:vAlign w:val="center"/>
          </w:tcPr>
          <w:p>
            <w:pPr>
              <w:jc w:val="center"/>
              <w:rPr>
                <w:rFonts w:ascii="宋体" w:hAnsi="宋体" w:cs="宋体"/>
                <w:bCs/>
                <w:sz w:val="20"/>
              </w:rPr>
            </w:pPr>
            <w:r>
              <w:rPr>
                <w:rFonts w:hint="eastAsia" w:ascii="宋体" w:hAnsi="宋体" w:cs="宋体"/>
                <w:bCs/>
                <w:sz w:val="20"/>
              </w:rPr>
              <w:t>项  目</w:t>
            </w:r>
          </w:p>
        </w:tc>
        <w:tc>
          <w:tcPr>
            <w:tcW w:w="1210" w:type="dxa"/>
            <w:noWrap w:val="0"/>
            <w:vAlign w:val="center"/>
          </w:tcPr>
          <w:p>
            <w:pPr>
              <w:jc w:val="center"/>
              <w:rPr>
                <w:rFonts w:ascii="宋体" w:hAnsi="宋体" w:cs="宋体"/>
                <w:bCs/>
                <w:sz w:val="20"/>
              </w:rPr>
            </w:pPr>
            <w:r>
              <w:rPr>
                <w:rFonts w:hint="eastAsia" w:ascii="宋体" w:hAnsi="宋体" w:cs="宋体"/>
                <w:bCs/>
                <w:sz w:val="20"/>
              </w:rPr>
              <w:t>账面价值</w:t>
            </w:r>
          </w:p>
        </w:tc>
        <w:tc>
          <w:tcPr>
            <w:tcW w:w="1260" w:type="dxa"/>
            <w:noWrap w:val="0"/>
            <w:vAlign w:val="center"/>
          </w:tcPr>
          <w:p>
            <w:pPr>
              <w:jc w:val="center"/>
              <w:rPr>
                <w:rFonts w:ascii="宋体" w:hAnsi="宋体" w:cs="宋体"/>
                <w:bCs/>
                <w:sz w:val="20"/>
              </w:rPr>
            </w:pPr>
            <w:r>
              <w:rPr>
                <w:rFonts w:hint="eastAsia" w:ascii="宋体" w:hAnsi="宋体" w:cs="宋体"/>
                <w:bCs/>
                <w:sz w:val="20"/>
              </w:rPr>
              <w:t>评估值</w:t>
            </w:r>
          </w:p>
        </w:tc>
        <w:tc>
          <w:tcPr>
            <w:tcW w:w="1230" w:type="dxa"/>
            <w:noWrap w:val="0"/>
            <w:vAlign w:val="center"/>
          </w:tcPr>
          <w:p>
            <w:pPr>
              <w:jc w:val="center"/>
              <w:rPr>
                <w:rFonts w:ascii="宋体" w:hAnsi="宋体" w:cs="宋体"/>
                <w:bCs/>
                <w:sz w:val="20"/>
              </w:rPr>
            </w:pPr>
            <w:r>
              <w:rPr>
                <w:rFonts w:hint="eastAsia" w:ascii="宋体" w:hAnsi="宋体" w:cs="宋体"/>
                <w:bCs/>
                <w:sz w:val="20"/>
              </w:rPr>
              <w:t>增值额</w:t>
            </w:r>
          </w:p>
        </w:tc>
        <w:tc>
          <w:tcPr>
            <w:tcW w:w="1386" w:type="dxa"/>
            <w:noWrap w:val="0"/>
            <w:vAlign w:val="center"/>
          </w:tcPr>
          <w:p>
            <w:pPr>
              <w:jc w:val="center"/>
              <w:rPr>
                <w:rFonts w:ascii="宋体" w:hAnsi="宋体" w:cs="宋体"/>
                <w:bCs/>
                <w:sz w:val="20"/>
              </w:rPr>
            </w:pPr>
            <w:r>
              <w:rPr>
                <w:rFonts w:hint="eastAsia" w:ascii="宋体" w:hAnsi="宋体" w:cs="宋体"/>
                <w:bCs/>
                <w:sz w:val="20"/>
              </w:rPr>
              <w:t>增值率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504" w:type="dxa"/>
            <w:vMerge w:val="continue"/>
            <w:noWrap w:val="0"/>
            <w:vAlign w:val="center"/>
          </w:tcPr>
          <w:p>
            <w:pPr>
              <w:jc w:val="center"/>
              <w:rPr>
                <w:rFonts w:ascii="宋体" w:hAnsi="宋体" w:cs="宋体"/>
                <w:bCs/>
                <w:sz w:val="20"/>
              </w:rPr>
            </w:pPr>
          </w:p>
        </w:tc>
        <w:tc>
          <w:tcPr>
            <w:tcW w:w="1635" w:type="dxa"/>
            <w:vMerge w:val="continue"/>
            <w:noWrap w:val="0"/>
            <w:vAlign w:val="center"/>
          </w:tcPr>
          <w:p>
            <w:pPr>
              <w:jc w:val="center"/>
              <w:rPr>
                <w:rFonts w:ascii="宋体" w:hAnsi="宋体" w:cs="宋体"/>
                <w:bCs/>
                <w:sz w:val="20"/>
              </w:rPr>
            </w:pPr>
          </w:p>
        </w:tc>
        <w:tc>
          <w:tcPr>
            <w:tcW w:w="1295" w:type="dxa"/>
            <w:noWrap w:val="0"/>
            <w:vAlign w:val="center"/>
          </w:tcPr>
          <w:p>
            <w:pPr>
              <w:jc w:val="center"/>
              <w:rPr>
                <w:rFonts w:ascii="宋体" w:hAnsi="宋体" w:cs="宋体"/>
                <w:bCs/>
                <w:sz w:val="20"/>
              </w:rPr>
            </w:pPr>
            <w:r>
              <w:rPr>
                <w:rFonts w:hint="eastAsia" w:ascii="宋体" w:hAnsi="宋体" w:cs="宋体"/>
                <w:bCs/>
                <w:sz w:val="20"/>
              </w:rPr>
              <w:t>资产总额</w:t>
            </w:r>
          </w:p>
        </w:tc>
        <w:tc>
          <w:tcPr>
            <w:tcW w:w="1210" w:type="dxa"/>
            <w:noWrap w:val="0"/>
            <w:vAlign w:val="center"/>
          </w:tcPr>
          <w:p>
            <w:pPr>
              <w:widowControl/>
              <w:jc w:val="center"/>
              <w:rPr>
                <w:rFonts w:ascii="宋体" w:hAnsi="宋体" w:cs="宋体"/>
                <w:bCs/>
                <w:sz w:val="20"/>
              </w:rPr>
            </w:pPr>
            <w:r>
              <w:rPr>
                <w:rFonts w:hint="eastAsia" w:ascii="宋体" w:hAnsi="宋体" w:cs="宋体"/>
                <w:bCs/>
                <w:sz w:val="20"/>
              </w:rPr>
              <w:t>3637.75</w:t>
            </w:r>
          </w:p>
        </w:tc>
        <w:tc>
          <w:tcPr>
            <w:tcW w:w="1260" w:type="dxa"/>
            <w:noWrap w:val="0"/>
            <w:vAlign w:val="center"/>
          </w:tcPr>
          <w:p>
            <w:pPr>
              <w:widowControl/>
              <w:jc w:val="center"/>
              <w:rPr>
                <w:rFonts w:ascii="宋体" w:hAnsi="宋体" w:cs="宋体"/>
                <w:bCs/>
                <w:sz w:val="20"/>
              </w:rPr>
            </w:pPr>
            <w:r>
              <w:rPr>
                <w:rFonts w:hint="eastAsia" w:ascii="宋体" w:hAnsi="宋体" w:cs="宋体"/>
                <w:bCs/>
                <w:sz w:val="20"/>
              </w:rPr>
              <w:t>6609</w:t>
            </w:r>
          </w:p>
        </w:tc>
        <w:tc>
          <w:tcPr>
            <w:tcW w:w="1230" w:type="dxa"/>
            <w:noWrap w:val="0"/>
            <w:vAlign w:val="center"/>
          </w:tcPr>
          <w:p>
            <w:pPr>
              <w:widowControl/>
              <w:jc w:val="center"/>
              <w:rPr>
                <w:rFonts w:ascii="宋体" w:hAnsi="宋体" w:cs="宋体"/>
                <w:bCs/>
                <w:sz w:val="20"/>
              </w:rPr>
            </w:pPr>
            <w:r>
              <w:rPr>
                <w:rFonts w:hint="eastAsia" w:ascii="宋体" w:hAnsi="宋体" w:cs="宋体"/>
                <w:bCs/>
                <w:sz w:val="20"/>
              </w:rPr>
              <w:t>2971.25</w:t>
            </w:r>
          </w:p>
        </w:tc>
        <w:tc>
          <w:tcPr>
            <w:tcW w:w="1386" w:type="dxa"/>
            <w:noWrap w:val="0"/>
            <w:vAlign w:val="center"/>
          </w:tcPr>
          <w:p>
            <w:pPr>
              <w:widowControl/>
              <w:jc w:val="center"/>
              <w:rPr>
                <w:rFonts w:ascii="宋体" w:hAnsi="宋体" w:cs="宋体"/>
                <w:bCs/>
                <w:sz w:val="20"/>
              </w:rPr>
            </w:pPr>
            <w:r>
              <w:rPr>
                <w:rFonts w:hint="eastAsia" w:ascii="宋体" w:hAnsi="宋体" w:cs="宋体"/>
                <w:bCs/>
                <w:sz w:val="20"/>
              </w:rPr>
              <w:t>81.68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504" w:type="dxa"/>
            <w:vMerge w:val="continue"/>
            <w:noWrap w:val="0"/>
            <w:vAlign w:val="center"/>
          </w:tcPr>
          <w:p>
            <w:pPr>
              <w:jc w:val="center"/>
              <w:rPr>
                <w:rFonts w:ascii="宋体" w:hAnsi="宋体" w:cs="宋体"/>
                <w:bCs/>
                <w:sz w:val="20"/>
              </w:rPr>
            </w:pPr>
          </w:p>
        </w:tc>
        <w:tc>
          <w:tcPr>
            <w:tcW w:w="1635" w:type="dxa"/>
            <w:vMerge w:val="continue"/>
            <w:noWrap w:val="0"/>
            <w:vAlign w:val="center"/>
          </w:tcPr>
          <w:p>
            <w:pPr>
              <w:jc w:val="center"/>
              <w:rPr>
                <w:rFonts w:ascii="宋体" w:hAnsi="宋体" w:cs="宋体"/>
                <w:bCs/>
                <w:sz w:val="20"/>
              </w:rPr>
            </w:pPr>
          </w:p>
        </w:tc>
        <w:tc>
          <w:tcPr>
            <w:tcW w:w="1295" w:type="dxa"/>
            <w:noWrap w:val="0"/>
            <w:vAlign w:val="center"/>
          </w:tcPr>
          <w:p>
            <w:pPr>
              <w:jc w:val="center"/>
              <w:rPr>
                <w:rFonts w:ascii="宋体" w:hAnsi="宋体" w:cs="宋体"/>
                <w:bCs/>
                <w:sz w:val="20"/>
              </w:rPr>
            </w:pPr>
            <w:r>
              <w:rPr>
                <w:rFonts w:hint="eastAsia" w:ascii="宋体" w:hAnsi="宋体" w:cs="宋体"/>
                <w:bCs/>
                <w:sz w:val="20"/>
              </w:rPr>
              <w:t>负债总额</w:t>
            </w:r>
          </w:p>
        </w:tc>
        <w:tc>
          <w:tcPr>
            <w:tcW w:w="1210" w:type="dxa"/>
            <w:noWrap w:val="0"/>
            <w:vAlign w:val="center"/>
          </w:tcPr>
          <w:p>
            <w:pPr>
              <w:widowControl/>
              <w:jc w:val="center"/>
              <w:rPr>
                <w:rFonts w:ascii="宋体" w:hAnsi="宋体" w:cs="宋体"/>
                <w:bCs/>
                <w:sz w:val="20"/>
              </w:rPr>
            </w:pPr>
            <w:r>
              <w:rPr>
                <w:rFonts w:hint="eastAsia" w:ascii="宋体" w:hAnsi="宋体" w:cs="宋体"/>
                <w:bCs/>
                <w:sz w:val="20"/>
              </w:rPr>
              <w:t>-</w:t>
            </w:r>
          </w:p>
        </w:tc>
        <w:tc>
          <w:tcPr>
            <w:tcW w:w="1260" w:type="dxa"/>
            <w:noWrap w:val="0"/>
            <w:vAlign w:val="center"/>
          </w:tcPr>
          <w:p>
            <w:pPr>
              <w:widowControl/>
              <w:jc w:val="center"/>
              <w:rPr>
                <w:rFonts w:ascii="宋体" w:hAnsi="宋体" w:cs="宋体"/>
                <w:bCs/>
                <w:sz w:val="20"/>
              </w:rPr>
            </w:pPr>
            <w:r>
              <w:rPr>
                <w:rFonts w:hint="eastAsia" w:ascii="宋体" w:hAnsi="宋体" w:cs="宋体"/>
                <w:bCs/>
                <w:sz w:val="20"/>
              </w:rPr>
              <w:t>-</w:t>
            </w:r>
          </w:p>
        </w:tc>
        <w:tc>
          <w:tcPr>
            <w:tcW w:w="1230" w:type="dxa"/>
            <w:noWrap w:val="0"/>
            <w:vAlign w:val="center"/>
          </w:tcPr>
          <w:p>
            <w:pPr>
              <w:jc w:val="center"/>
              <w:rPr>
                <w:rFonts w:ascii="宋体" w:hAnsi="宋体" w:cs="宋体"/>
                <w:bCs/>
                <w:sz w:val="20"/>
              </w:rPr>
            </w:pPr>
            <w:r>
              <w:rPr>
                <w:rFonts w:hint="eastAsia" w:ascii="宋体" w:hAnsi="宋体" w:cs="宋体"/>
                <w:bCs/>
                <w:sz w:val="20"/>
              </w:rPr>
              <w:t>-</w:t>
            </w:r>
          </w:p>
        </w:tc>
        <w:tc>
          <w:tcPr>
            <w:tcW w:w="1386" w:type="dxa"/>
            <w:noWrap w:val="0"/>
            <w:vAlign w:val="center"/>
          </w:tcPr>
          <w:p>
            <w:pPr>
              <w:jc w:val="center"/>
              <w:rPr>
                <w:rFonts w:ascii="宋体" w:hAnsi="宋体" w:cs="宋体"/>
                <w:bCs/>
                <w:sz w:val="20"/>
              </w:rPr>
            </w:pPr>
            <w:r>
              <w:rPr>
                <w:rFonts w:hint="eastAsia" w:ascii="宋体" w:hAnsi="宋体" w:cs="宋体"/>
                <w:bCs/>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04" w:type="dxa"/>
            <w:vMerge w:val="continue"/>
            <w:noWrap w:val="0"/>
            <w:vAlign w:val="center"/>
          </w:tcPr>
          <w:p>
            <w:pPr>
              <w:jc w:val="center"/>
              <w:rPr>
                <w:rFonts w:ascii="宋体" w:hAnsi="宋体" w:cs="宋体"/>
                <w:bCs/>
                <w:sz w:val="20"/>
              </w:rPr>
            </w:pPr>
          </w:p>
        </w:tc>
        <w:tc>
          <w:tcPr>
            <w:tcW w:w="1635" w:type="dxa"/>
            <w:vMerge w:val="continue"/>
            <w:noWrap w:val="0"/>
            <w:vAlign w:val="center"/>
          </w:tcPr>
          <w:p>
            <w:pPr>
              <w:jc w:val="center"/>
              <w:rPr>
                <w:rFonts w:ascii="宋体" w:hAnsi="宋体" w:cs="宋体"/>
                <w:bCs/>
                <w:sz w:val="20"/>
              </w:rPr>
            </w:pPr>
          </w:p>
        </w:tc>
        <w:tc>
          <w:tcPr>
            <w:tcW w:w="1295" w:type="dxa"/>
            <w:noWrap w:val="0"/>
            <w:vAlign w:val="center"/>
          </w:tcPr>
          <w:p>
            <w:pPr>
              <w:jc w:val="center"/>
              <w:rPr>
                <w:rFonts w:ascii="宋体" w:hAnsi="宋体" w:cs="宋体"/>
                <w:bCs/>
                <w:sz w:val="20"/>
              </w:rPr>
            </w:pPr>
            <w:r>
              <w:rPr>
                <w:rFonts w:hint="eastAsia" w:ascii="宋体" w:hAnsi="宋体" w:cs="宋体"/>
                <w:bCs/>
                <w:sz w:val="20"/>
              </w:rPr>
              <w:t>净 资 产</w:t>
            </w:r>
          </w:p>
        </w:tc>
        <w:tc>
          <w:tcPr>
            <w:tcW w:w="1210" w:type="dxa"/>
            <w:noWrap w:val="0"/>
            <w:vAlign w:val="center"/>
          </w:tcPr>
          <w:p>
            <w:pPr>
              <w:widowControl/>
              <w:jc w:val="center"/>
              <w:rPr>
                <w:rFonts w:ascii="宋体" w:hAnsi="宋体" w:cs="宋体"/>
                <w:bCs/>
                <w:sz w:val="20"/>
              </w:rPr>
            </w:pPr>
            <w:r>
              <w:rPr>
                <w:rFonts w:hint="eastAsia" w:ascii="宋体" w:hAnsi="宋体" w:cs="宋体"/>
                <w:bCs/>
                <w:sz w:val="20"/>
              </w:rPr>
              <w:t>-</w:t>
            </w:r>
          </w:p>
        </w:tc>
        <w:tc>
          <w:tcPr>
            <w:tcW w:w="1260" w:type="dxa"/>
            <w:noWrap w:val="0"/>
            <w:vAlign w:val="center"/>
          </w:tcPr>
          <w:p>
            <w:pPr>
              <w:widowControl/>
              <w:jc w:val="center"/>
              <w:rPr>
                <w:rFonts w:ascii="宋体" w:hAnsi="宋体" w:cs="宋体"/>
                <w:bCs/>
                <w:sz w:val="20"/>
              </w:rPr>
            </w:pPr>
            <w:r>
              <w:rPr>
                <w:rFonts w:hint="eastAsia" w:ascii="宋体" w:hAnsi="宋体" w:cs="宋体"/>
                <w:bCs/>
                <w:sz w:val="20"/>
              </w:rPr>
              <w:t>-</w:t>
            </w:r>
          </w:p>
        </w:tc>
        <w:tc>
          <w:tcPr>
            <w:tcW w:w="1230" w:type="dxa"/>
            <w:noWrap w:val="0"/>
            <w:vAlign w:val="center"/>
          </w:tcPr>
          <w:p>
            <w:pPr>
              <w:jc w:val="center"/>
              <w:rPr>
                <w:rFonts w:ascii="宋体" w:hAnsi="宋体" w:cs="宋体"/>
                <w:bCs/>
                <w:sz w:val="20"/>
              </w:rPr>
            </w:pPr>
            <w:r>
              <w:rPr>
                <w:rFonts w:hint="eastAsia" w:ascii="宋体" w:hAnsi="宋体" w:cs="宋体"/>
                <w:bCs/>
                <w:sz w:val="20"/>
              </w:rPr>
              <w:t>-</w:t>
            </w:r>
          </w:p>
        </w:tc>
        <w:tc>
          <w:tcPr>
            <w:tcW w:w="1386" w:type="dxa"/>
            <w:noWrap w:val="0"/>
            <w:vAlign w:val="center"/>
          </w:tcPr>
          <w:p>
            <w:pPr>
              <w:jc w:val="center"/>
              <w:rPr>
                <w:rFonts w:ascii="宋体" w:hAnsi="宋体" w:cs="宋体"/>
                <w:bCs/>
                <w:sz w:val="20"/>
              </w:rPr>
            </w:pPr>
            <w:r>
              <w:rPr>
                <w:rFonts w:hint="eastAsia" w:ascii="宋体" w:hAnsi="宋体" w:cs="宋体"/>
                <w:bCs/>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504" w:type="dxa"/>
            <w:noWrap w:val="0"/>
            <w:vAlign w:val="center"/>
          </w:tcPr>
          <w:p>
            <w:pPr>
              <w:jc w:val="center"/>
              <w:rPr>
                <w:rFonts w:ascii="宋体" w:hAnsi="宋体" w:cs="宋体"/>
                <w:bCs/>
                <w:sz w:val="20"/>
              </w:rPr>
            </w:pPr>
            <w:r>
              <w:rPr>
                <w:rFonts w:hint="eastAsia" w:ascii="宋体" w:hAnsi="宋体" w:cs="宋体"/>
                <w:bCs/>
                <w:sz w:val="20"/>
              </w:rPr>
              <w:t>7</w:t>
            </w:r>
          </w:p>
        </w:tc>
        <w:tc>
          <w:tcPr>
            <w:tcW w:w="1635" w:type="dxa"/>
            <w:noWrap w:val="0"/>
            <w:vAlign w:val="center"/>
          </w:tcPr>
          <w:p>
            <w:pPr>
              <w:jc w:val="center"/>
              <w:rPr>
                <w:rFonts w:ascii="宋体" w:hAnsi="宋体" w:cs="宋体"/>
                <w:bCs/>
                <w:sz w:val="20"/>
              </w:rPr>
            </w:pPr>
            <w:r>
              <w:rPr>
                <w:rFonts w:hint="eastAsia" w:ascii="宋体" w:hAnsi="宋体" w:cs="宋体"/>
                <w:bCs/>
                <w:sz w:val="20"/>
              </w:rPr>
              <w:t>评估资料查阅</w:t>
            </w:r>
          </w:p>
          <w:p>
            <w:pPr>
              <w:jc w:val="center"/>
              <w:rPr>
                <w:rFonts w:ascii="宋体" w:hAnsi="宋体" w:cs="宋体"/>
                <w:bCs/>
                <w:sz w:val="20"/>
              </w:rPr>
            </w:pPr>
            <w:r>
              <w:rPr>
                <w:rFonts w:hint="eastAsia" w:ascii="宋体" w:hAnsi="宋体" w:cs="宋体"/>
                <w:bCs/>
                <w:sz w:val="20"/>
              </w:rPr>
              <w:t>方式</w:t>
            </w:r>
          </w:p>
        </w:tc>
        <w:tc>
          <w:tcPr>
            <w:tcW w:w="6381" w:type="dxa"/>
            <w:gridSpan w:val="5"/>
            <w:noWrap w:val="0"/>
            <w:vAlign w:val="center"/>
          </w:tcPr>
          <w:p>
            <w:pPr>
              <w:jc w:val="left"/>
              <w:rPr>
                <w:rFonts w:ascii="宋体" w:hAnsi="宋体" w:cs="宋体"/>
                <w:bCs/>
                <w:sz w:val="20"/>
              </w:rPr>
            </w:pPr>
            <w:r>
              <w:rPr>
                <w:rFonts w:hint="eastAsia" w:ascii="宋体" w:hAnsi="宋体" w:cs="宋体"/>
                <w:bCs/>
                <w:sz w:val="20"/>
              </w:rPr>
              <w:t>评估批复、比选评估机构方案、评估报告初稿及审核意见等纸质及电子资料在资产财务部资产管理处。</w:t>
            </w:r>
          </w:p>
        </w:tc>
      </w:tr>
    </w:tbl>
    <w:p>
      <w:pPr>
        <w:rPr>
          <w:rFonts w:hint="eastAsia" w:ascii="宋体" w:hAnsi="宋体" w:cs="宋体"/>
          <w:bCs/>
          <w:sz w:val="20"/>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E338AB"/>
    <w:rsid w:val="6FE33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2021-06-08T13:38:00Z</dcterms:created>
  <dc:creator>宣传处</dc:creator>
  <cp:lastModifiedBy>宣传处</cp:lastModifiedBy>
  <dcterms:modified xsi:type="dcterms:W3CDTF">2021-06-08T13:39:01Z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A24ABA95E3B94B5AA2899CF3EB240FFA</vt:lpwstr>
  </property>
</Properties>
</file>