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28"/>
          <w:szCs w:val="28"/>
        </w:rPr>
      </w:pPr>
      <w:r>
        <w:rPr>
          <w:rFonts w:hint="eastAsia" w:ascii="黑体" w:hAnsi="黑体" w:eastAsia="黑体" w:cs="黑体"/>
          <w:bCs/>
          <w:sz w:val="28"/>
          <w:szCs w:val="28"/>
        </w:rPr>
        <w:t>附件：</w:t>
      </w:r>
    </w:p>
    <w:p>
      <w:pPr>
        <w:jc w:val="center"/>
        <w:rPr>
          <w:rFonts w:hint="eastAsia" w:ascii="宋体" w:hAnsi="宋体" w:cs="宋体"/>
          <w:bCs/>
          <w:sz w:val="20"/>
        </w:rPr>
      </w:pPr>
      <w:r>
        <w:rPr>
          <w:rFonts w:hint="eastAsia" w:ascii="黑体" w:hAnsi="黑体" w:eastAsia="黑体" w:cs="黑体"/>
          <w:bCs/>
          <w:sz w:val="30"/>
          <w:szCs w:val="30"/>
        </w:rPr>
        <w:t>中国煤炭地质总局资产评估项目公示表</w:t>
      </w:r>
    </w:p>
    <w:p>
      <w:pPr>
        <w:rPr>
          <w:rFonts w:hint="eastAsia" w:ascii="宋体" w:hAnsi="宋体" w:cs="宋体"/>
          <w:bCs/>
          <w:sz w:val="20"/>
          <w:lang w:val="en-US" w:eastAsia="zh-CN"/>
        </w:rPr>
      </w:pPr>
      <w:r>
        <w:rPr>
          <w:rFonts w:hint="eastAsia" w:ascii="宋体" w:hAnsi="宋体" w:cs="宋体"/>
          <w:bCs/>
          <w:sz w:val="20"/>
        </w:rPr>
        <w:t>评估项目：</w:t>
      </w:r>
      <w:r>
        <w:rPr>
          <w:rFonts w:hint="eastAsia" w:ascii="宋体" w:hAnsi="宋体" w:cs="宋体"/>
          <w:bCs/>
          <w:sz w:val="20"/>
          <w:lang w:val="en-US" w:eastAsia="zh-CN"/>
        </w:rPr>
        <w:t>湖北宜安联合实业有限责任公司3%国有股权转让资产评估项目</w:t>
      </w:r>
    </w:p>
    <w:p>
      <w:pPr>
        <w:rPr>
          <w:rFonts w:hint="eastAsia" w:ascii="宋体" w:hAnsi="宋体" w:cs="宋体"/>
          <w:bCs/>
          <w:sz w:val="20"/>
        </w:rPr>
      </w:pPr>
      <w:r>
        <w:rPr>
          <w:rFonts w:hint="eastAsia" w:ascii="宋体" w:hAnsi="宋体" w:cs="宋体"/>
          <w:bCs/>
          <w:sz w:val="20"/>
        </w:rPr>
        <w:t>公示期限：20</w:t>
      </w:r>
      <w:r>
        <w:rPr>
          <w:rFonts w:hint="eastAsia" w:ascii="宋体" w:hAnsi="宋体" w:cs="宋体"/>
          <w:bCs/>
          <w:sz w:val="20"/>
          <w:lang w:val="en-US" w:eastAsia="zh-CN"/>
        </w:rPr>
        <w:t>20</w:t>
      </w:r>
      <w:r>
        <w:rPr>
          <w:rFonts w:hint="eastAsia" w:ascii="宋体" w:hAnsi="宋体" w:cs="宋体"/>
          <w:bCs/>
          <w:sz w:val="20"/>
        </w:rPr>
        <w:t>年</w:t>
      </w:r>
      <w:r>
        <w:rPr>
          <w:rFonts w:hint="eastAsia" w:ascii="宋体" w:hAnsi="宋体" w:cs="宋体"/>
          <w:bCs/>
          <w:sz w:val="20"/>
          <w:lang w:val="en-US" w:eastAsia="zh-CN"/>
        </w:rPr>
        <w:t>7</w:t>
      </w:r>
      <w:r>
        <w:rPr>
          <w:rFonts w:hint="eastAsia" w:ascii="宋体" w:hAnsi="宋体" w:cs="宋体"/>
          <w:bCs/>
          <w:sz w:val="20"/>
        </w:rPr>
        <w:t>月</w:t>
      </w:r>
      <w:r>
        <w:rPr>
          <w:rFonts w:hint="eastAsia" w:ascii="宋体" w:hAnsi="宋体" w:cs="宋体"/>
          <w:bCs/>
          <w:sz w:val="20"/>
          <w:lang w:val="en-US" w:eastAsia="zh-CN"/>
        </w:rPr>
        <w:t>20</w:t>
      </w:r>
      <w:r>
        <w:rPr>
          <w:rFonts w:hint="eastAsia" w:ascii="宋体" w:hAnsi="宋体" w:cs="宋体"/>
          <w:bCs/>
          <w:sz w:val="20"/>
        </w:rPr>
        <w:t>日至20</w:t>
      </w:r>
      <w:r>
        <w:rPr>
          <w:rFonts w:hint="eastAsia" w:ascii="宋体" w:hAnsi="宋体" w:cs="宋体"/>
          <w:bCs/>
          <w:sz w:val="20"/>
          <w:lang w:val="en-US" w:eastAsia="zh-CN"/>
        </w:rPr>
        <w:t>20</w:t>
      </w:r>
      <w:r>
        <w:rPr>
          <w:rFonts w:hint="eastAsia" w:ascii="宋体" w:hAnsi="宋体" w:cs="宋体"/>
          <w:bCs/>
          <w:sz w:val="20"/>
        </w:rPr>
        <w:t>年</w:t>
      </w:r>
      <w:r>
        <w:rPr>
          <w:rFonts w:hint="eastAsia" w:ascii="宋体" w:hAnsi="宋体" w:cs="宋体"/>
          <w:bCs/>
          <w:sz w:val="20"/>
          <w:lang w:val="en-US" w:eastAsia="zh-CN"/>
        </w:rPr>
        <w:t>7</w:t>
      </w:r>
      <w:r>
        <w:rPr>
          <w:rFonts w:hint="eastAsia" w:ascii="宋体" w:hAnsi="宋体" w:cs="宋体"/>
          <w:bCs/>
          <w:sz w:val="20"/>
        </w:rPr>
        <w:t>月</w:t>
      </w:r>
      <w:r>
        <w:rPr>
          <w:rFonts w:hint="eastAsia" w:ascii="宋体" w:hAnsi="宋体" w:cs="宋体"/>
          <w:bCs/>
          <w:sz w:val="20"/>
          <w:lang w:val="en-US" w:eastAsia="zh-CN"/>
        </w:rPr>
        <w:t>24</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序号</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hint="eastAsia"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1</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经济行为批准</w:t>
            </w:r>
          </w:p>
          <w:p>
            <w:pPr>
              <w:jc w:val="center"/>
              <w:rPr>
                <w:rFonts w:hint="eastAsia" w:ascii="宋体" w:hAnsi="宋体" w:cs="宋体"/>
                <w:bCs/>
                <w:sz w:val="20"/>
              </w:rPr>
            </w:pPr>
            <w:r>
              <w:rPr>
                <w:rFonts w:hint="eastAsia" w:ascii="宋体" w:hAnsi="宋体" w:cs="宋体"/>
                <w:bCs/>
                <w:sz w:val="20"/>
              </w:rPr>
              <w:t>文件</w:t>
            </w:r>
          </w:p>
        </w:tc>
        <w:tc>
          <w:tcPr>
            <w:tcW w:w="6381" w:type="dxa"/>
            <w:gridSpan w:val="5"/>
            <w:noWrap w:val="0"/>
            <w:vAlign w:val="center"/>
          </w:tcPr>
          <w:p>
            <w:pPr>
              <w:rPr>
                <w:rFonts w:hint="eastAsia" w:ascii="宋体" w:hAnsi="宋体" w:cs="宋体"/>
                <w:bCs/>
                <w:sz w:val="20"/>
              </w:rPr>
            </w:pPr>
            <w:r>
              <w:rPr>
                <w:rFonts w:hint="eastAsia" w:ascii="宋体" w:hAnsi="宋体" w:cs="宋体"/>
                <w:bCs/>
                <w:sz w:val="20"/>
              </w:rPr>
              <w:t>《关于中化局湖北地质勘查院转让湖北宜安联合实业有限责任公司国有股权财务审计和资产评估的批复</w:t>
            </w:r>
            <w:r>
              <w:rPr>
                <w:rFonts w:hint="eastAsia" w:ascii="宋体" w:hAnsi="宋体" w:cs="宋体"/>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2</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评估机构选聘</w:t>
            </w:r>
          </w:p>
          <w:p>
            <w:pPr>
              <w:jc w:val="center"/>
              <w:rPr>
                <w:rFonts w:hint="eastAsia" w:ascii="宋体" w:hAnsi="宋体" w:cs="宋体"/>
                <w:bCs/>
                <w:sz w:val="20"/>
              </w:rPr>
            </w:pPr>
            <w:r>
              <w:rPr>
                <w:rFonts w:hint="eastAsia" w:ascii="宋体" w:hAnsi="宋体" w:cs="宋体"/>
                <w:bCs/>
                <w:sz w:val="20"/>
              </w:rPr>
              <w:t>方式</w:t>
            </w:r>
          </w:p>
        </w:tc>
        <w:tc>
          <w:tcPr>
            <w:tcW w:w="6381" w:type="dxa"/>
            <w:gridSpan w:val="5"/>
            <w:noWrap w:val="0"/>
            <w:vAlign w:val="center"/>
          </w:tcPr>
          <w:p>
            <w:pPr>
              <w:rPr>
                <w:rFonts w:hint="eastAsia" w:ascii="宋体" w:hAnsi="宋体" w:cs="宋体"/>
                <w:bCs/>
                <w:sz w:val="20"/>
              </w:rPr>
            </w:pPr>
            <w:r>
              <w:rPr>
                <w:rFonts w:hint="eastAsia" w:ascii="宋体" w:hAnsi="宋体" w:cs="宋体"/>
                <w:bCs/>
                <w:sz w:val="20"/>
              </w:rPr>
              <w:t>总局资产财务部拟定比选通知并发放给总局评估机构备选库中具有资产评估资质的评估机构，并组织相关部门召开评估机构比选会议，对评估机构报送的评估方案进行审查，比选出符合要求的评估机构。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4" w:type="dxa"/>
            <w:noWrap w:val="0"/>
            <w:vAlign w:val="center"/>
          </w:tcPr>
          <w:p>
            <w:pPr>
              <w:jc w:val="center"/>
              <w:rPr>
                <w:rFonts w:hint="eastAsia" w:ascii="宋体" w:hAnsi="宋体" w:cs="宋体"/>
                <w:bCs/>
                <w:sz w:val="20"/>
              </w:rPr>
            </w:pPr>
          </w:p>
          <w:p>
            <w:pPr>
              <w:jc w:val="center"/>
              <w:rPr>
                <w:rFonts w:hint="eastAsia" w:ascii="宋体" w:hAnsi="宋体" w:cs="宋体"/>
                <w:bCs/>
                <w:sz w:val="20"/>
              </w:rPr>
            </w:pPr>
            <w:r>
              <w:rPr>
                <w:rFonts w:hint="eastAsia" w:ascii="宋体" w:hAnsi="宋体" w:cs="宋体"/>
                <w:bCs/>
                <w:sz w:val="20"/>
              </w:rPr>
              <w:t>3</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评估机构及评估师资质</w:t>
            </w:r>
          </w:p>
        </w:tc>
        <w:tc>
          <w:tcPr>
            <w:tcW w:w="6381" w:type="dxa"/>
            <w:gridSpan w:val="5"/>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 xml:space="preserve">北京北方亚事资产评估事务所（特殊普通合伙）                           评估师1：宋利强 登记编号1：41140014  </w:t>
            </w:r>
          </w:p>
          <w:p>
            <w:pPr>
              <w:widowControl/>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20"/>
                <w:szCs w:val="20"/>
                <w:lang w:val="en-US" w:eastAsia="zh-CN" w:bidi="ar-SA"/>
              </w:rPr>
              <w:t>评估师2：张华志 登记编号2：11140004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4</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评估程序履行及独立第三方评估机构审核情况</w:t>
            </w:r>
          </w:p>
        </w:tc>
        <w:tc>
          <w:tcPr>
            <w:tcW w:w="6381" w:type="dxa"/>
            <w:gridSpan w:val="5"/>
            <w:noWrap w:val="0"/>
            <w:vAlign w:val="center"/>
          </w:tcPr>
          <w:p>
            <w:pPr>
              <w:jc w:val="left"/>
              <w:rPr>
                <w:rFonts w:hint="eastAsia" w:ascii="宋体" w:hAnsi="宋体" w:cs="宋体"/>
                <w:bCs/>
                <w:sz w:val="20"/>
              </w:rPr>
            </w:pPr>
            <w:r>
              <w:rPr>
                <w:rFonts w:hint="eastAsia" w:ascii="宋体" w:hAnsi="宋体" w:cs="宋体"/>
                <w:bCs/>
                <w:sz w:val="20"/>
              </w:rPr>
              <w:t>总局选聘</w:t>
            </w:r>
            <w:r>
              <w:rPr>
                <w:rFonts w:hint="eastAsia" w:ascii="宋体" w:hAnsi="宋体" w:eastAsia="宋体" w:cs="宋体"/>
                <w:color w:val="000000"/>
                <w:kern w:val="0"/>
                <w:sz w:val="18"/>
                <w:szCs w:val="18"/>
                <w:lang w:val="en-US" w:eastAsia="zh-CN" w:bidi="ar-SA"/>
              </w:rPr>
              <w:t>北京北方亚事资产评估事务所</w:t>
            </w:r>
            <w:r>
              <w:rPr>
                <w:rFonts w:hint="eastAsia" w:ascii="宋体" w:hAnsi="宋体" w:cs="宋体"/>
                <w:bCs/>
                <w:sz w:val="20"/>
              </w:rPr>
              <w:t>对</w:t>
            </w:r>
            <w:r>
              <w:rPr>
                <w:rFonts w:hint="eastAsia" w:ascii="宋体" w:hAnsi="宋体" w:cs="宋体"/>
                <w:bCs/>
                <w:sz w:val="20"/>
                <w:lang w:val="en-US" w:eastAsia="zh-CN"/>
              </w:rPr>
              <w:t>湖北宜安联合实业有限责任公司3%国有股权转让项目</w:t>
            </w:r>
            <w:r>
              <w:rPr>
                <w:rFonts w:hint="eastAsia" w:ascii="宋体" w:hAnsi="宋体" w:cs="宋体"/>
                <w:bCs/>
                <w:sz w:val="20"/>
              </w:rPr>
              <w:t>开展评估工作，委托</w:t>
            </w:r>
            <w:r>
              <w:rPr>
                <w:rFonts w:hint="eastAsia" w:ascii="宋体" w:hAnsi="宋体" w:cs="宋体"/>
                <w:bCs/>
                <w:sz w:val="20"/>
                <w:lang w:eastAsia="zh-CN"/>
              </w:rPr>
              <w:t>北京亚超</w:t>
            </w:r>
            <w:r>
              <w:rPr>
                <w:rFonts w:hint="eastAsia" w:ascii="宋体" w:hAnsi="宋体" w:cs="宋体"/>
                <w:bCs/>
                <w:sz w:val="20"/>
                <w:lang w:val="en-US" w:eastAsia="zh-CN"/>
              </w:rPr>
              <w:t>资产评估公司</w:t>
            </w:r>
            <w:r>
              <w:rPr>
                <w:rFonts w:hint="eastAsia" w:ascii="宋体" w:hAnsi="宋体" w:cs="宋体"/>
                <w:bCs/>
                <w:sz w:val="20"/>
              </w:rPr>
              <w:t>对评估报告初稿进行了审核并出具了审核意见，</w:t>
            </w:r>
            <w:r>
              <w:rPr>
                <w:rFonts w:hint="eastAsia" w:ascii="宋体" w:hAnsi="宋体" w:cs="宋体"/>
                <w:bCs/>
                <w:sz w:val="20"/>
                <w:lang w:eastAsia="zh-CN"/>
              </w:rPr>
              <w:t>评估公司针对审核意见进行了修订完善</w:t>
            </w: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5</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评估报告摘要和特别事项说明</w:t>
            </w:r>
          </w:p>
        </w:tc>
        <w:tc>
          <w:tcPr>
            <w:tcW w:w="6381" w:type="dxa"/>
            <w:gridSpan w:val="5"/>
            <w:noWrap w:val="0"/>
            <w:vAlign w:val="center"/>
          </w:tcPr>
          <w:p>
            <w:pPr>
              <w:jc w:val="left"/>
              <w:rPr>
                <w:rFonts w:hint="default" w:ascii="宋体" w:hAnsi="宋体" w:cs="宋体"/>
                <w:bCs/>
                <w:sz w:val="20"/>
                <w:lang w:val="en-US" w:eastAsia="zh-CN"/>
              </w:rPr>
            </w:pPr>
            <w:r>
              <w:rPr>
                <w:rFonts w:hint="eastAsia" w:ascii="宋体" w:hAnsi="宋体" w:eastAsia="宋体" w:cs="宋体"/>
                <w:color w:val="000000"/>
                <w:kern w:val="0"/>
                <w:sz w:val="20"/>
                <w:szCs w:val="20"/>
                <w:lang w:val="en-US" w:eastAsia="zh-CN" w:bidi="ar-SA"/>
              </w:rPr>
              <w:t>北京北方亚事资产评估事务所（特殊普通合伙）</w:t>
            </w:r>
            <w:r>
              <w:rPr>
                <w:rFonts w:hint="eastAsia" w:ascii="宋体" w:hAnsi="宋体" w:cs="宋体"/>
                <w:bCs/>
                <w:sz w:val="20"/>
                <w:szCs w:val="20"/>
              </w:rPr>
              <w:t>接受中化地质矿山总局湖北地质勘查院的委托，对中化地质矿山总局湖北地质勘查院拟股权转让涉及的湖北宜安联合实业有限责任公司股东全部权益于评估基准日2019年11月30日的市场价值进行了评估</w:t>
            </w:r>
            <w:r>
              <w:rPr>
                <w:rFonts w:hint="eastAsia" w:ascii="宋体" w:hAnsi="宋体" w:cs="宋体"/>
                <w:bCs/>
                <w:sz w:val="20"/>
                <w:szCs w:val="20"/>
                <w:lang w:eastAsia="zh-CN"/>
              </w:rPr>
              <w:t>。评估对象为湖北宜安联合实业有限责任公司股东全部权益价值。评估范围为评估对象所对应的全部资产及相关负债。本次评估的价值类型为市场价值。结合本次评估目的，采用了资产基础法、</w:t>
            </w:r>
            <w:r>
              <w:rPr>
                <w:rFonts w:hint="eastAsia" w:ascii="宋体" w:hAnsi="宋体" w:cs="宋体"/>
                <w:bCs/>
                <w:sz w:val="20"/>
                <w:szCs w:val="20"/>
                <w:lang w:val="en-US" w:eastAsia="zh-CN"/>
              </w:rPr>
              <w:t>收益法</w:t>
            </w:r>
            <w:r>
              <w:rPr>
                <w:rFonts w:hint="eastAsia" w:ascii="宋体" w:hAnsi="宋体" w:cs="宋体"/>
                <w:bCs/>
                <w:sz w:val="20"/>
                <w:szCs w:val="20"/>
                <w:lang w:eastAsia="zh-CN"/>
              </w:rPr>
              <w:t>进行评估。评估过程包括</w:t>
            </w:r>
            <w:r>
              <w:rPr>
                <w:rFonts w:hint="eastAsia" w:ascii="宋体" w:hAnsi="宋体" w:cs="宋体"/>
                <w:bCs/>
                <w:sz w:val="20"/>
                <w:szCs w:val="20"/>
                <w:lang w:val="en-US" w:eastAsia="zh-CN"/>
              </w:rPr>
              <w:t>明确评估业务基本事项</w:t>
            </w:r>
            <w:r>
              <w:rPr>
                <w:rFonts w:hint="eastAsia" w:ascii="宋体" w:hAnsi="宋体" w:cs="宋体"/>
                <w:bCs/>
                <w:sz w:val="20"/>
                <w:szCs w:val="20"/>
                <w:lang w:eastAsia="zh-CN"/>
              </w:rPr>
              <w:t>阶段、</w:t>
            </w:r>
            <w:r>
              <w:rPr>
                <w:rFonts w:hint="eastAsia" w:ascii="宋体" w:hAnsi="宋体" w:cs="宋体"/>
                <w:bCs/>
                <w:sz w:val="20"/>
                <w:szCs w:val="20"/>
                <w:lang w:val="en-US" w:eastAsia="zh-CN"/>
              </w:rPr>
              <w:t>编制评估计划</w:t>
            </w:r>
            <w:r>
              <w:rPr>
                <w:rFonts w:hint="eastAsia" w:ascii="宋体" w:hAnsi="宋体" w:cs="宋体"/>
                <w:bCs/>
                <w:sz w:val="20"/>
                <w:szCs w:val="20"/>
                <w:lang w:eastAsia="zh-CN"/>
              </w:rPr>
              <w:t>阶段、</w:t>
            </w:r>
            <w:r>
              <w:rPr>
                <w:rFonts w:hint="eastAsia" w:ascii="宋体" w:hAnsi="宋体" w:cs="宋体"/>
                <w:bCs/>
                <w:sz w:val="20"/>
                <w:szCs w:val="20"/>
                <w:lang w:val="en-US" w:eastAsia="zh-CN"/>
              </w:rPr>
              <w:t>现场调查</w:t>
            </w:r>
            <w:r>
              <w:rPr>
                <w:rFonts w:hint="eastAsia" w:ascii="宋体" w:hAnsi="宋体" w:cs="宋体"/>
                <w:bCs/>
                <w:sz w:val="20"/>
                <w:szCs w:val="20"/>
                <w:lang w:eastAsia="zh-CN"/>
              </w:rPr>
              <w:t>阶段、</w:t>
            </w:r>
            <w:r>
              <w:rPr>
                <w:rFonts w:hint="eastAsia" w:ascii="宋体" w:hAnsi="宋体" w:cs="宋体"/>
                <w:bCs/>
                <w:sz w:val="20"/>
                <w:szCs w:val="20"/>
                <w:lang w:val="en-US" w:eastAsia="zh-CN"/>
              </w:rPr>
              <w:t>收集评估资料</w:t>
            </w:r>
            <w:r>
              <w:rPr>
                <w:rFonts w:hint="eastAsia" w:ascii="宋体" w:hAnsi="宋体" w:cs="宋体"/>
                <w:bCs/>
                <w:sz w:val="20"/>
                <w:szCs w:val="20"/>
                <w:lang w:eastAsia="zh-CN"/>
              </w:rPr>
              <w:t>阶段</w:t>
            </w:r>
            <w:r>
              <w:rPr>
                <w:rFonts w:hint="eastAsia" w:ascii="宋体" w:hAnsi="宋体" w:cs="宋体"/>
                <w:bCs/>
                <w:sz w:val="20"/>
                <w:szCs w:val="20"/>
                <w:lang w:val="en-US" w:eastAsia="zh-CN"/>
              </w:rPr>
              <w:t>、评定估算</w:t>
            </w:r>
            <w:r>
              <w:rPr>
                <w:rFonts w:hint="eastAsia" w:ascii="宋体" w:hAnsi="宋体" w:cs="宋体"/>
                <w:bCs/>
                <w:sz w:val="20"/>
                <w:szCs w:val="20"/>
                <w:lang w:eastAsia="zh-CN"/>
              </w:rPr>
              <w:t>阶段</w:t>
            </w:r>
            <w:r>
              <w:rPr>
                <w:rFonts w:hint="eastAsia" w:ascii="宋体" w:hAnsi="宋体" w:cs="宋体"/>
                <w:bCs/>
                <w:sz w:val="20"/>
                <w:szCs w:val="20"/>
                <w:lang w:val="en-US" w:eastAsia="zh-CN"/>
              </w:rPr>
              <w:t>、编制和提交评估报告</w:t>
            </w:r>
            <w:r>
              <w:rPr>
                <w:rFonts w:hint="eastAsia" w:ascii="宋体" w:hAnsi="宋体" w:cs="宋体"/>
                <w:bCs/>
                <w:sz w:val="20"/>
                <w:szCs w:val="20"/>
                <w:lang w:eastAsia="zh-CN"/>
              </w:rPr>
              <w:t>阶段。</w:t>
            </w:r>
            <w:r>
              <w:rPr>
                <w:rFonts w:hint="eastAsia" w:ascii="宋体" w:hAnsi="宋体" w:eastAsia="宋体" w:cs="宋体"/>
                <w:color w:val="000000"/>
                <w:kern w:val="0"/>
                <w:sz w:val="20"/>
                <w:szCs w:val="20"/>
                <w:lang w:val="en-US" w:eastAsia="zh-CN" w:bidi="ar-SA"/>
              </w:rPr>
              <w:t>北京北方亚事资产评估事务所（特殊普通合伙）</w:t>
            </w:r>
            <w:r>
              <w:rPr>
                <w:rFonts w:hint="eastAsia" w:ascii="宋体" w:hAnsi="宋体" w:cs="宋体"/>
                <w:bCs/>
                <w:sz w:val="20"/>
                <w:szCs w:val="20"/>
                <w:lang w:eastAsia="zh-CN"/>
              </w:rPr>
              <w:t>本着独立、客观、公正的原则，履行了资产评估法定的和必要的程序，得出评估结论如下：</w:t>
            </w:r>
            <w:r>
              <w:rPr>
                <w:rFonts w:hint="eastAsia" w:ascii="宋体" w:hAnsi="宋体" w:cs="宋体"/>
                <w:bCs/>
                <w:sz w:val="20"/>
                <w:szCs w:val="20"/>
                <w:lang w:val="en-US" w:eastAsia="zh-CN"/>
              </w:rPr>
              <w:t>按照资产基础</w:t>
            </w:r>
            <w:r>
              <w:rPr>
                <w:rFonts w:hint="eastAsia" w:ascii="宋体" w:hAnsi="宋体" w:cs="宋体"/>
                <w:bCs/>
                <w:sz w:val="20"/>
                <w:szCs w:val="20"/>
                <w:lang w:eastAsia="zh-CN"/>
              </w:rPr>
              <w:t>法评估结果，湖北宜安联合实业有限责任公司评估基准日</w:t>
            </w:r>
            <w:r>
              <w:rPr>
                <w:rFonts w:hint="eastAsia" w:ascii="宋体" w:hAnsi="宋体" w:cs="宋体"/>
                <w:bCs/>
                <w:sz w:val="20"/>
                <w:szCs w:val="20"/>
                <w:lang w:val="en-US" w:eastAsia="zh-CN"/>
              </w:rPr>
              <w:t>总资产账面价值89,449.06万元，评估值84,807.17万元，评估减值4,641.89万元，减值率5.19%；总负债账面价值69,579.97万元，评估值69,579.97万元，无增减值变化；净资产账面价值19,869.09</w:t>
            </w:r>
            <w:r>
              <w:rPr>
                <w:rFonts w:hint="eastAsia" w:ascii="宋体" w:hAnsi="宋体" w:cs="宋体"/>
                <w:bCs/>
                <w:sz w:val="20"/>
                <w:szCs w:val="20"/>
              </w:rPr>
              <w:t>万</w:t>
            </w:r>
            <w:r>
              <w:rPr>
                <w:rFonts w:hint="eastAsia" w:ascii="宋体" w:hAnsi="宋体" w:cs="宋体"/>
                <w:bCs/>
                <w:sz w:val="20"/>
                <w:szCs w:val="20"/>
                <w:lang w:val="en-US" w:eastAsia="zh-CN"/>
              </w:rPr>
              <w:t>元，评估值15,227.20万元，评估减值4,641.89万元，减值率23.36%。按照收益法评估结果，评估后湖北宜安联合实业有限责任公司的股东全部权益价值为60,040.44万元，评估增值40,171.35万元，增值率202.18%。经过比较分析，认为收益法的评估结论能更全面、合理地反映企业的内含价值，故本次评估采用收益法评估结果作为本次评估的最终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hint="eastAsia" w:ascii="宋体" w:hAnsi="宋体" w:cs="宋体"/>
                <w:bCs/>
                <w:sz w:val="20"/>
              </w:rPr>
            </w:pPr>
            <w:r>
              <w:rPr>
                <w:rFonts w:hint="eastAsia" w:ascii="宋体" w:hAnsi="宋体" w:cs="宋体"/>
                <w:bCs/>
                <w:sz w:val="20"/>
              </w:rPr>
              <w:t>6</w:t>
            </w:r>
          </w:p>
        </w:tc>
        <w:tc>
          <w:tcPr>
            <w:tcW w:w="1635" w:type="dxa"/>
            <w:vMerge w:val="restart"/>
            <w:noWrap w:val="0"/>
            <w:vAlign w:val="center"/>
          </w:tcPr>
          <w:p>
            <w:pPr>
              <w:jc w:val="center"/>
              <w:rPr>
                <w:rFonts w:hint="eastAsia" w:ascii="宋体" w:hAnsi="宋体" w:cs="宋体"/>
                <w:bCs/>
                <w:sz w:val="20"/>
              </w:rPr>
            </w:pPr>
            <w:r>
              <w:rPr>
                <w:rFonts w:hint="eastAsia" w:ascii="宋体" w:hAnsi="宋体" w:cs="宋体"/>
                <w:bCs/>
                <w:sz w:val="20"/>
              </w:rPr>
              <w:t>评估结果汇总表</w:t>
            </w:r>
          </w:p>
          <w:p>
            <w:pPr>
              <w:jc w:val="center"/>
              <w:rPr>
                <w:rFonts w:hint="eastAsia" w:ascii="宋体" w:hAnsi="宋体" w:cs="宋体"/>
                <w:bCs/>
                <w:sz w:val="20"/>
              </w:rPr>
            </w:pPr>
            <w:r>
              <w:rPr>
                <w:rFonts w:hint="eastAsia" w:ascii="宋体" w:hAnsi="宋体" w:cs="宋体"/>
                <w:bCs/>
                <w:sz w:val="20"/>
              </w:rPr>
              <w:t>（单位：万元）</w:t>
            </w:r>
          </w:p>
        </w:tc>
        <w:tc>
          <w:tcPr>
            <w:tcW w:w="1295" w:type="dxa"/>
            <w:noWrap w:val="0"/>
            <w:vAlign w:val="center"/>
          </w:tcPr>
          <w:p>
            <w:pPr>
              <w:jc w:val="center"/>
              <w:rPr>
                <w:rFonts w:hint="eastAsia" w:ascii="宋体" w:hAnsi="宋体" w:cs="宋体"/>
                <w:bCs/>
                <w:sz w:val="20"/>
              </w:rPr>
            </w:pPr>
            <w:r>
              <w:rPr>
                <w:rFonts w:hint="eastAsia" w:ascii="宋体" w:hAnsi="宋体" w:cs="宋体"/>
                <w:bCs/>
                <w:sz w:val="20"/>
              </w:rPr>
              <w:t>项  目</w:t>
            </w:r>
          </w:p>
        </w:tc>
        <w:tc>
          <w:tcPr>
            <w:tcW w:w="1210" w:type="dxa"/>
            <w:noWrap w:val="0"/>
            <w:vAlign w:val="center"/>
          </w:tcPr>
          <w:p>
            <w:pPr>
              <w:jc w:val="center"/>
              <w:rPr>
                <w:rFonts w:hint="eastAsia" w:ascii="宋体" w:hAnsi="宋体" w:cs="宋体"/>
                <w:bCs/>
                <w:sz w:val="20"/>
              </w:rPr>
            </w:pPr>
            <w:r>
              <w:rPr>
                <w:rFonts w:hint="eastAsia" w:ascii="宋体" w:hAnsi="宋体" w:cs="宋体"/>
                <w:bCs/>
                <w:sz w:val="20"/>
              </w:rPr>
              <w:t>账面价值</w:t>
            </w:r>
          </w:p>
        </w:tc>
        <w:tc>
          <w:tcPr>
            <w:tcW w:w="1260" w:type="dxa"/>
            <w:noWrap w:val="0"/>
            <w:vAlign w:val="center"/>
          </w:tcPr>
          <w:p>
            <w:pPr>
              <w:jc w:val="center"/>
              <w:rPr>
                <w:rFonts w:hint="eastAsia" w:ascii="宋体" w:hAnsi="宋体" w:cs="宋体"/>
                <w:bCs/>
                <w:sz w:val="20"/>
              </w:rPr>
            </w:pPr>
            <w:r>
              <w:rPr>
                <w:rFonts w:hint="eastAsia" w:ascii="宋体" w:hAnsi="宋体" w:cs="宋体"/>
                <w:bCs/>
                <w:sz w:val="20"/>
              </w:rPr>
              <w:t>评估值</w:t>
            </w:r>
          </w:p>
        </w:tc>
        <w:tc>
          <w:tcPr>
            <w:tcW w:w="1230" w:type="dxa"/>
            <w:noWrap w:val="0"/>
            <w:vAlign w:val="center"/>
          </w:tcPr>
          <w:p>
            <w:pPr>
              <w:jc w:val="center"/>
              <w:rPr>
                <w:rFonts w:hint="eastAsia" w:ascii="宋体" w:hAnsi="宋体" w:cs="宋体"/>
                <w:bCs/>
                <w:sz w:val="20"/>
              </w:rPr>
            </w:pPr>
            <w:r>
              <w:rPr>
                <w:rFonts w:hint="eastAsia" w:ascii="宋体" w:hAnsi="宋体" w:cs="宋体"/>
                <w:bCs/>
                <w:sz w:val="20"/>
              </w:rPr>
              <w:t>增值额</w:t>
            </w:r>
          </w:p>
        </w:tc>
        <w:tc>
          <w:tcPr>
            <w:tcW w:w="1386" w:type="dxa"/>
            <w:noWrap w:val="0"/>
            <w:vAlign w:val="center"/>
          </w:tcPr>
          <w:p>
            <w:pPr>
              <w:jc w:val="center"/>
              <w:rPr>
                <w:rFonts w:hint="eastAsia"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4" w:type="dxa"/>
            <w:vMerge w:val="continue"/>
            <w:noWrap w:val="0"/>
            <w:vAlign w:val="center"/>
          </w:tcPr>
          <w:p>
            <w:pPr>
              <w:jc w:val="center"/>
              <w:rPr>
                <w:rFonts w:hint="eastAsia" w:ascii="宋体" w:hAnsi="宋体" w:cs="宋体"/>
                <w:bCs/>
                <w:sz w:val="20"/>
              </w:rPr>
            </w:pPr>
          </w:p>
        </w:tc>
        <w:tc>
          <w:tcPr>
            <w:tcW w:w="1635" w:type="dxa"/>
            <w:vMerge w:val="continue"/>
            <w:noWrap w:val="0"/>
            <w:vAlign w:val="center"/>
          </w:tcPr>
          <w:p>
            <w:pPr>
              <w:jc w:val="center"/>
              <w:rPr>
                <w:rFonts w:hint="eastAsia" w:ascii="宋体" w:hAnsi="宋体" w:cs="宋体"/>
                <w:bCs/>
                <w:sz w:val="20"/>
              </w:rPr>
            </w:pPr>
          </w:p>
        </w:tc>
        <w:tc>
          <w:tcPr>
            <w:tcW w:w="1295" w:type="dxa"/>
            <w:noWrap w:val="0"/>
            <w:vAlign w:val="center"/>
          </w:tcPr>
          <w:p>
            <w:pPr>
              <w:jc w:val="center"/>
              <w:rPr>
                <w:rFonts w:hint="eastAsia" w:ascii="宋体" w:hAnsi="宋体" w:cs="宋体"/>
                <w:bCs/>
                <w:sz w:val="20"/>
              </w:rPr>
            </w:pPr>
            <w:r>
              <w:rPr>
                <w:rFonts w:hint="eastAsia" w:ascii="宋体" w:hAnsi="宋体" w:cs="宋体"/>
                <w:bCs/>
                <w:sz w:val="20"/>
              </w:rPr>
              <w:t>资产总额</w:t>
            </w:r>
          </w:p>
          <w:p>
            <w:pPr>
              <w:jc w:val="center"/>
              <w:rPr>
                <w:rFonts w:hint="eastAsia" w:ascii="宋体" w:hAnsi="宋体" w:eastAsia="宋体" w:cs="宋体"/>
                <w:bCs/>
                <w:sz w:val="20"/>
                <w:lang w:eastAsia="zh-CN"/>
              </w:rPr>
            </w:pPr>
            <w:r>
              <w:rPr>
                <w:rFonts w:hint="eastAsia" w:ascii="宋体" w:hAnsi="宋体" w:cs="宋体"/>
                <w:bCs/>
                <w:sz w:val="20"/>
                <w:lang w:eastAsia="zh-CN"/>
              </w:rPr>
              <w:t>（</w:t>
            </w:r>
            <w:r>
              <w:rPr>
                <w:rFonts w:hint="eastAsia" w:ascii="宋体" w:hAnsi="宋体" w:cs="宋体"/>
                <w:bCs/>
                <w:sz w:val="20"/>
                <w:lang w:val="en-US" w:eastAsia="zh-CN"/>
              </w:rPr>
              <w:t>资产基础法</w:t>
            </w:r>
            <w:r>
              <w:rPr>
                <w:rFonts w:hint="eastAsia" w:ascii="宋体" w:hAnsi="宋体" w:cs="宋体"/>
                <w:bCs/>
                <w:sz w:val="20"/>
                <w:lang w:eastAsia="zh-CN"/>
              </w:rPr>
              <w:t>）</w:t>
            </w:r>
          </w:p>
        </w:tc>
        <w:tc>
          <w:tcPr>
            <w:tcW w:w="1210"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89,449.06</w:t>
            </w:r>
          </w:p>
        </w:tc>
        <w:tc>
          <w:tcPr>
            <w:tcW w:w="1260"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84,807.17</w:t>
            </w:r>
          </w:p>
        </w:tc>
        <w:tc>
          <w:tcPr>
            <w:tcW w:w="1230"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-4,641.89</w:t>
            </w:r>
          </w:p>
        </w:tc>
        <w:tc>
          <w:tcPr>
            <w:tcW w:w="1386"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04" w:type="dxa"/>
            <w:vMerge w:val="continue"/>
            <w:noWrap w:val="0"/>
            <w:vAlign w:val="center"/>
          </w:tcPr>
          <w:p>
            <w:pPr>
              <w:jc w:val="center"/>
              <w:rPr>
                <w:rFonts w:hint="eastAsia" w:ascii="宋体" w:hAnsi="宋体" w:cs="宋体"/>
                <w:bCs/>
                <w:sz w:val="20"/>
              </w:rPr>
            </w:pPr>
          </w:p>
        </w:tc>
        <w:tc>
          <w:tcPr>
            <w:tcW w:w="1635" w:type="dxa"/>
            <w:vMerge w:val="continue"/>
            <w:noWrap w:val="0"/>
            <w:vAlign w:val="center"/>
          </w:tcPr>
          <w:p>
            <w:pPr>
              <w:jc w:val="center"/>
              <w:rPr>
                <w:rFonts w:hint="eastAsia" w:ascii="宋体" w:hAnsi="宋体" w:cs="宋体"/>
                <w:bCs/>
                <w:sz w:val="20"/>
              </w:rPr>
            </w:pPr>
          </w:p>
        </w:tc>
        <w:tc>
          <w:tcPr>
            <w:tcW w:w="1295" w:type="dxa"/>
            <w:noWrap w:val="0"/>
            <w:vAlign w:val="center"/>
          </w:tcPr>
          <w:p>
            <w:pPr>
              <w:jc w:val="center"/>
              <w:rPr>
                <w:rFonts w:hint="eastAsia" w:ascii="宋体" w:hAnsi="宋体" w:cs="宋体"/>
                <w:bCs/>
                <w:sz w:val="20"/>
              </w:rPr>
            </w:pPr>
            <w:r>
              <w:rPr>
                <w:rFonts w:hint="eastAsia" w:ascii="宋体" w:hAnsi="宋体" w:cs="宋体"/>
                <w:bCs/>
                <w:sz w:val="20"/>
              </w:rPr>
              <w:t>负债总额</w:t>
            </w:r>
          </w:p>
          <w:p>
            <w:pPr>
              <w:jc w:val="center"/>
              <w:rPr>
                <w:rFonts w:hint="eastAsia" w:ascii="宋体" w:hAnsi="宋体" w:cs="宋体"/>
                <w:bCs/>
                <w:sz w:val="20"/>
              </w:rPr>
            </w:pPr>
            <w:r>
              <w:rPr>
                <w:rFonts w:hint="eastAsia" w:ascii="宋体" w:hAnsi="宋体" w:cs="宋体"/>
                <w:bCs/>
                <w:sz w:val="20"/>
                <w:lang w:eastAsia="zh-CN"/>
              </w:rPr>
              <w:t>（</w:t>
            </w:r>
            <w:r>
              <w:rPr>
                <w:rFonts w:hint="eastAsia" w:ascii="宋体" w:hAnsi="宋体" w:cs="宋体"/>
                <w:bCs/>
                <w:sz w:val="20"/>
                <w:lang w:val="en-US" w:eastAsia="zh-CN"/>
              </w:rPr>
              <w:t>资产基础法</w:t>
            </w:r>
            <w:r>
              <w:rPr>
                <w:rFonts w:hint="eastAsia" w:ascii="宋体" w:hAnsi="宋体" w:cs="宋体"/>
                <w:bCs/>
                <w:sz w:val="20"/>
                <w:lang w:eastAsia="zh-CN"/>
              </w:rPr>
              <w:t>）</w:t>
            </w:r>
          </w:p>
        </w:tc>
        <w:tc>
          <w:tcPr>
            <w:tcW w:w="1210"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69,579.97</w:t>
            </w:r>
          </w:p>
        </w:tc>
        <w:tc>
          <w:tcPr>
            <w:tcW w:w="1260" w:type="dxa"/>
            <w:noWrap w:val="0"/>
            <w:vAlign w:val="center"/>
          </w:tcPr>
          <w:p>
            <w:pPr>
              <w:widowControl/>
              <w:jc w:val="center"/>
              <w:rPr>
                <w:rFonts w:hint="default" w:ascii="宋体" w:hAnsi="宋体" w:eastAsia="宋体" w:cs="宋体"/>
                <w:bCs/>
                <w:sz w:val="20"/>
                <w:lang w:val="en-US" w:eastAsia="zh-CN"/>
              </w:rPr>
            </w:pPr>
            <w:r>
              <w:rPr>
                <w:rFonts w:hint="eastAsia" w:ascii="宋体" w:hAnsi="宋体" w:cs="宋体"/>
                <w:bCs/>
                <w:sz w:val="20"/>
                <w:lang w:val="en-US" w:eastAsia="zh-CN"/>
              </w:rPr>
              <w:t>69</w:t>
            </w:r>
            <w:r>
              <w:rPr>
                <w:rFonts w:hint="eastAsia" w:ascii="宋体" w:hAnsi="宋体" w:eastAsia="宋体" w:cs="宋体"/>
                <w:bCs/>
                <w:sz w:val="20"/>
                <w:lang w:val="en-US" w:eastAsia="zh-CN"/>
              </w:rPr>
              <w:t>,</w:t>
            </w:r>
            <w:r>
              <w:rPr>
                <w:rFonts w:hint="eastAsia" w:ascii="宋体" w:hAnsi="宋体" w:cs="宋体"/>
                <w:bCs/>
                <w:sz w:val="20"/>
                <w:lang w:val="en-US" w:eastAsia="zh-CN"/>
              </w:rPr>
              <w:t>579.97</w:t>
            </w:r>
          </w:p>
        </w:tc>
        <w:tc>
          <w:tcPr>
            <w:tcW w:w="1230" w:type="dxa"/>
            <w:noWrap w:val="0"/>
            <w:vAlign w:val="center"/>
          </w:tcPr>
          <w:p>
            <w:pPr>
              <w:jc w:val="center"/>
              <w:rPr>
                <w:rFonts w:hint="eastAsia" w:ascii="宋体" w:hAnsi="宋体" w:eastAsia="宋体" w:cs="宋体"/>
                <w:bCs/>
                <w:sz w:val="20"/>
                <w:lang w:val="en-US" w:eastAsia="zh-CN"/>
              </w:rPr>
            </w:pPr>
          </w:p>
        </w:tc>
        <w:tc>
          <w:tcPr>
            <w:tcW w:w="1386" w:type="dxa"/>
            <w:noWrap w:val="0"/>
            <w:vAlign w:val="center"/>
          </w:tcPr>
          <w:p>
            <w:pPr>
              <w:jc w:val="center"/>
              <w:rPr>
                <w:rFonts w:hint="eastAsia" w:ascii="宋体" w:hAnsi="宋体" w:eastAsia="宋体" w:cs="宋体"/>
                <w:bCs/>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hint="eastAsia" w:ascii="宋体" w:hAnsi="宋体" w:cs="宋体"/>
                <w:bCs/>
                <w:sz w:val="20"/>
              </w:rPr>
            </w:pPr>
          </w:p>
        </w:tc>
        <w:tc>
          <w:tcPr>
            <w:tcW w:w="1635" w:type="dxa"/>
            <w:vMerge w:val="continue"/>
            <w:noWrap w:val="0"/>
            <w:vAlign w:val="center"/>
          </w:tcPr>
          <w:p>
            <w:pPr>
              <w:jc w:val="center"/>
              <w:rPr>
                <w:rFonts w:hint="eastAsia" w:ascii="宋体" w:hAnsi="宋体" w:cs="宋体"/>
                <w:bCs/>
                <w:sz w:val="20"/>
              </w:rPr>
            </w:pPr>
          </w:p>
        </w:tc>
        <w:tc>
          <w:tcPr>
            <w:tcW w:w="1295" w:type="dxa"/>
            <w:noWrap w:val="0"/>
            <w:vAlign w:val="center"/>
          </w:tcPr>
          <w:p>
            <w:pPr>
              <w:jc w:val="center"/>
              <w:rPr>
                <w:rFonts w:hint="eastAsia" w:ascii="宋体" w:hAnsi="宋体" w:cs="宋体"/>
                <w:bCs/>
                <w:sz w:val="20"/>
              </w:rPr>
            </w:pPr>
            <w:r>
              <w:rPr>
                <w:rFonts w:hint="eastAsia" w:ascii="宋体" w:hAnsi="宋体" w:cs="宋体"/>
                <w:bCs/>
                <w:sz w:val="20"/>
              </w:rPr>
              <w:t>净 资 产</w:t>
            </w:r>
          </w:p>
          <w:p>
            <w:pPr>
              <w:jc w:val="center"/>
              <w:rPr>
                <w:rFonts w:hint="eastAsia" w:ascii="宋体" w:hAnsi="宋体" w:cs="宋体"/>
                <w:bCs/>
                <w:sz w:val="20"/>
              </w:rPr>
            </w:pPr>
            <w:r>
              <w:rPr>
                <w:rFonts w:hint="eastAsia" w:ascii="宋体" w:hAnsi="宋体" w:cs="宋体"/>
                <w:bCs/>
                <w:sz w:val="20"/>
                <w:lang w:eastAsia="zh-CN"/>
              </w:rPr>
              <w:t>（</w:t>
            </w:r>
            <w:r>
              <w:rPr>
                <w:rFonts w:hint="eastAsia" w:ascii="宋体" w:hAnsi="宋体" w:cs="宋体"/>
                <w:bCs/>
                <w:sz w:val="20"/>
                <w:lang w:val="en-US" w:eastAsia="zh-CN"/>
              </w:rPr>
              <w:t>资产基础法</w:t>
            </w:r>
            <w:r>
              <w:rPr>
                <w:rFonts w:hint="eastAsia" w:ascii="宋体" w:hAnsi="宋体" w:cs="宋体"/>
                <w:bCs/>
                <w:sz w:val="20"/>
                <w:lang w:eastAsia="zh-CN"/>
              </w:rPr>
              <w:t>）</w:t>
            </w:r>
          </w:p>
        </w:tc>
        <w:tc>
          <w:tcPr>
            <w:tcW w:w="1210"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19,869.09</w:t>
            </w:r>
          </w:p>
        </w:tc>
        <w:tc>
          <w:tcPr>
            <w:tcW w:w="1260"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15,227.20</w:t>
            </w:r>
          </w:p>
        </w:tc>
        <w:tc>
          <w:tcPr>
            <w:tcW w:w="1230"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-4,641.89</w:t>
            </w:r>
          </w:p>
        </w:tc>
        <w:tc>
          <w:tcPr>
            <w:tcW w:w="1386"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hint="eastAsia" w:ascii="宋体" w:hAnsi="宋体" w:cs="宋体"/>
                <w:bCs/>
                <w:sz w:val="20"/>
              </w:rPr>
            </w:pPr>
          </w:p>
        </w:tc>
        <w:tc>
          <w:tcPr>
            <w:tcW w:w="1635" w:type="dxa"/>
            <w:vMerge w:val="continue"/>
            <w:noWrap w:val="0"/>
            <w:vAlign w:val="center"/>
          </w:tcPr>
          <w:p>
            <w:pPr>
              <w:jc w:val="center"/>
              <w:rPr>
                <w:rFonts w:hint="eastAsia" w:ascii="宋体" w:hAnsi="宋体" w:cs="宋体"/>
                <w:bCs/>
                <w:sz w:val="20"/>
              </w:rPr>
            </w:pPr>
          </w:p>
        </w:tc>
        <w:tc>
          <w:tcPr>
            <w:tcW w:w="1295" w:type="dxa"/>
            <w:noWrap w:val="0"/>
            <w:vAlign w:val="center"/>
          </w:tcPr>
          <w:p>
            <w:pPr>
              <w:jc w:val="center"/>
              <w:rPr>
                <w:rFonts w:hint="eastAsia" w:ascii="宋体" w:hAnsi="宋体" w:cs="宋体"/>
                <w:bCs/>
                <w:sz w:val="20"/>
              </w:rPr>
            </w:pPr>
            <w:r>
              <w:rPr>
                <w:rFonts w:hint="eastAsia" w:ascii="宋体" w:hAnsi="宋体" w:cs="宋体"/>
                <w:bCs/>
                <w:sz w:val="20"/>
              </w:rPr>
              <w:t>净 资 产</w:t>
            </w:r>
          </w:p>
          <w:p>
            <w:pPr>
              <w:jc w:val="center"/>
              <w:rPr>
                <w:rFonts w:hint="eastAsia" w:ascii="宋体" w:hAnsi="宋体" w:cs="宋体"/>
                <w:bCs/>
                <w:sz w:val="20"/>
                <w:lang w:eastAsia="zh-CN"/>
              </w:rPr>
            </w:pPr>
            <w:r>
              <w:rPr>
                <w:rFonts w:hint="eastAsia" w:ascii="宋体" w:hAnsi="宋体" w:cs="宋体"/>
                <w:bCs/>
                <w:sz w:val="20"/>
                <w:lang w:eastAsia="zh-CN"/>
              </w:rPr>
              <w:t>（</w:t>
            </w:r>
            <w:r>
              <w:rPr>
                <w:rFonts w:hint="eastAsia" w:ascii="宋体" w:hAnsi="宋体" w:cs="宋体"/>
                <w:bCs/>
                <w:sz w:val="20"/>
                <w:lang w:val="en-US" w:eastAsia="zh-CN"/>
              </w:rPr>
              <w:t>收益法</w:t>
            </w:r>
            <w:r>
              <w:rPr>
                <w:rFonts w:hint="eastAsia" w:ascii="宋体" w:hAnsi="宋体" w:cs="宋体"/>
                <w:bCs/>
                <w:sz w:val="20"/>
                <w:lang w:eastAsia="zh-CN"/>
              </w:rPr>
              <w:t>）</w:t>
            </w:r>
          </w:p>
        </w:tc>
        <w:tc>
          <w:tcPr>
            <w:tcW w:w="1210" w:type="dxa"/>
            <w:noWrap w:val="0"/>
            <w:vAlign w:val="center"/>
          </w:tcPr>
          <w:p>
            <w:pPr>
              <w:widowControl/>
              <w:jc w:val="center"/>
              <w:rPr>
                <w:rFonts w:hint="eastAsia" w:ascii="宋体" w:hAnsi="宋体" w:eastAsia="宋体" w:cs="宋体"/>
                <w:bCs/>
                <w:sz w:val="20"/>
                <w:lang w:val="en-US" w:eastAsia="zh-CN"/>
              </w:rPr>
            </w:pPr>
            <w:r>
              <w:rPr>
                <w:rFonts w:hint="eastAsia" w:ascii="宋体" w:hAnsi="宋体" w:eastAsia="宋体" w:cs="宋体"/>
                <w:bCs/>
                <w:sz w:val="20"/>
                <w:lang w:val="en-US" w:eastAsia="zh-CN"/>
              </w:rPr>
              <w:t>19,869.09</w:t>
            </w:r>
          </w:p>
        </w:tc>
        <w:tc>
          <w:tcPr>
            <w:tcW w:w="1260"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60,040.44</w:t>
            </w:r>
          </w:p>
        </w:tc>
        <w:tc>
          <w:tcPr>
            <w:tcW w:w="1230"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40,171.35</w:t>
            </w:r>
          </w:p>
        </w:tc>
        <w:tc>
          <w:tcPr>
            <w:tcW w:w="1386" w:type="dxa"/>
            <w:noWrap w:val="0"/>
            <w:vAlign w:val="center"/>
          </w:tcPr>
          <w:p>
            <w:pPr>
              <w:widowControl/>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7</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评估资料查阅</w:t>
            </w:r>
          </w:p>
          <w:p>
            <w:pPr>
              <w:jc w:val="center"/>
              <w:rPr>
                <w:rFonts w:hint="eastAsia"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hint="eastAsia" w:ascii="宋体" w:hAnsi="宋体" w:cs="宋体"/>
                <w:bCs/>
                <w:sz w:val="20"/>
              </w:rPr>
            </w:pPr>
            <w:r>
              <w:rPr>
                <w:rFonts w:hint="eastAsia" w:ascii="宋体" w:hAnsi="宋体" w:cs="宋体"/>
                <w:bCs/>
                <w:sz w:val="20"/>
              </w:rPr>
              <w:t>评估批复、比选评估机构方案、评估报告初稿及审核意见等纸质及电子资料在资产财务部资产管理处。</w:t>
            </w:r>
          </w:p>
        </w:tc>
      </w:tr>
    </w:tbl>
    <w:p>
      <w:pPr>
        <w:rPr>
          <w:rFonts w:hint="eastAsia" w:ascii="宋体" w:hAnsi="宋体" w:cs="宋体"/>
          <w:bCs/>
          <w:sz w:val="20"/>
        </w:rPr>
      </w:pPr>
      <w:r>
        <w:rPr>
          <w:rFonts w:hint="eastAsia" w:ascii="宋体" w:hAnsi="宋体" w:cs="宋体"/>
          <w:bCs/>
          <w:sz w:val="20"/>
        </w:rPr>
        <w:t>接受反馈意见部门：资产财务部          联系人：</w:t>
      </w:r>
      <w:r>
        <w:rPr>
          <w:rFonts w:hint="eastAsia" w:ascii="宋体" w:hAnsi="宋体" w:cs="宋体"/>
          <w:bCs/>
          <w:sz w:val="20"/>
          <w:lang w:eastAsia="zh-CN"/>
        </w:rPr>
        <w:t>夏杰</w:t>
      </w:r>
      <w:r>
        <w:rPr>
          <w:rFonts w:hint="eastAsia" w:ascii="宋体" w:hAnsi="宋体" w:cs="宋体"/>
          <w:bCs/>
          <w:sz w:val="20"/>
        </w:rPr>
        <w:t xml:space="preserve">     </w:t>
      </w:r>
      <w:r>
        <w:rPr>
          <w:rFonts w:hint="eastAsia" w:ascii="宋体" w:hAnsi="宋体" w:cs="宋体"/>
          <w:bCs/>
          <w:sz w:val="20"/>
          <w:lang w:val="en-US" w:eastAsia="zh-CN"/>
        </w:rPr>
        <w:t xml:space="preserve">   </w:t>
      </w:r>
      <w:r>
        <w:rPr>
          <w:rFonts w:hint="eastAsia" w:ascii="宋体" w:hAnsi="宋体" w:cs="宋体"/>
          <w:bCs/>
          <w:sz w:val="20"/>
        </w:rPr>
        <w:t xml:space="preserve">  联系方式：13</w:t>
      </w:r>
      <w:r>
        <w:rPr>
          <w:rFonts w:hint="eastAsia" w:ascii="宋体" w:hAnsi="宋体" w:cs="宋体"/>
          <w:bCs/>
          <w:sz w:val="20"/>
          <w:lang w:val="en-US" w:eastAsia="zh-CN"/>
        </w:rPr>
        <w:t>641397643</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66328"/>
    <w:rsid w:val="28B6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2020-07-20T03:37:00Z</dcterms:created>
  <dc:creator>赵龙</dc:creator>
  <cp:lastModifiedBy>赵龙</cp:lastModifiedBy>
  <dcterms:modified xsi:type="dcterms:W3CDTF">2020-07-20T03:37:48Z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