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lang w:val="en-US" w:eastAsia="zh-CN"/>
        </w:rPr>
      </w:pPr>
      <w:r>
        <w:rPr>
          <w:rFonts w:hint="eastAsia" w:ascii="宋体" w:hAnsi="宋体" w:cs="宋体"/>
          <w:bCs/>
          <w:sz w:val="20"/>
        </w:rPr>
        <w:t>评估项目：</w:t>
      </w:r>
      <w:r>
        <w:rPr>
          <w:rFonts w:hint="eastAsia" w:ascii="宋体" w:hAnsi="宋体" w:cs="宋体"/>
          <w:bCs/>
          <w:sz w:val="20"/>
          <w:lang w:val="en-US" w:eastAsia="zh-CN"/>
        </w:rPr>
        <w:t>北京大地高科地质勘查有限公司自有房产抵偿民营企业欠款评估项目</w:t>
      </w:r>
    </w:p>
    <w:p>
      <w:pPr>
        <w:rPr>
          <w:rFonts w:hint="eastAsia" w:ascii="宋体" w:hAnsi="宋体" w:cs="宋体"/>
          <w:bCs/>
          <w:sz w:val="20"/>
          <w:lang w:val="en-US" w:eastAsia="zh-CN"/>
        </w:rPr>
      </w:pPr>
      <w:r>
        <w:rPr>
          <w:rFonts w:hint="eastAsia" w:ascii="宋体" w:hAnsi="宋体" w:cs="宋体"/>
          <w:bCs/>
          <w:sz w:val="20"/>
          <w:lang w:val="en-US" w:eastAsia="zh-CN"/>
        </w:rPr>
        <w:t>公示期限：2020年7月20日至2020年7月24日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ascii="宋体" w:hAnsi="宋体" w:cs="宋体"/>
                <w:bCs/>
                <w:sz w:val="20"/>
                <w:lang w:eastAsia="zh-CN"/>
              </w:rPr>
              <w:t>《关于北京大地高科地质勘查有限公司自有房产抵偿民营企业欠款评估的批复》（中煤地办发财务[2019]90号）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p>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北京</w:t>
            </w:r>
            <w:r>
              <w:rPr>
                <w:rFonts w:hint="eastAsia" w:ascii="宋体" w:hAnsi="宋体" w:cs="宋体"/>
                <w:bCs/>
                <w:sz w:val="20"/>
                <w:lang w:val="en-US" w:eastAsia="zh-CN"/>
              </w:rPr>
              <w:t>仁达房地产评估有</w:t>
            </w:r>
            <w:r>
              <w:rPr>
                <w:rFonts w:hint="eastAsia" w:ascii="宋体" w:hAnsi="宋体" w:cs="宋体"/>
                <w:bCs/>
                <w:sz w:val="20"/>
              </w:rPr>
              <w:t>限公司：</w:t>
            </w:r>
            <w:r>
              <w:rPr>
                <w:rFonts w:hint="eastAsia" w:ascii="宋体" w:hAnsi="宋体" w:cs="宋体"/>
                <w:bCs/>
                <w:sz w:val="20"/>
                <w:lang w:eastAsia="zh-CN"/>
              </w:rPr>
              <w:t>袁艺，</w:t>
            </w:r>
            <w:r>
              <w:rPr>
                <w:rFonts w:hint="default" w:ascii="宋体" w:hAnsi="宋体" w:cs="宋体"/>
                <w:bCs/>
                <w:sz w:val="20"/>
                <w:lang w:val="en-US" w:eastAsia="zh-CN"/>
              </w:rPr>
              <w:t>1120110076</w:t>
            </w:r>
            <w:r>
              <w:rPr>
                <w:rFonts w:hint="eastAsia" w:ascii="宋体" w:hAnsi="宋体" w:cs="宋体"/>
                <w:bCs/>
                <w:sz w:val="20"/>
                <w:lang w:eastAsia="zh-CN"/>
              </w:rPr>
              <w:t>；</w:t>
            </w:r>
            <w:r>
              <w:rPr>
                <w:rFonts w:hint="eastAsia" w:ascii="宋体" w:hAnsi="宋体" w:cs="宋体"/>
                <w:bCs/>
                <w:sz w:val="20"/>
                <w:lang w:val="en-US" w:eastAsia="zh-CN"/>
              </w:rPr>
              <w:t>王晓辉</w:t>
            </w:r>
            <w:r>
              <w:rPr>
                <w:rFonts w:hint="eastAsia" w:ascii="宋体" w:hAnsi="宋体" w:cs="宋体"/>
                <w:bCs/>
                <w:sz w:val="20"/>
                <w:lang w:eastAsia="zh-CN"/>
              </w:rPr>
              <w:t>，</w:t>
            </w:r>
            <w:r>
              <w:rPr>
                <w:rFonts w:hint="default" w:ascii="宋体" w:hAnsi="宋体" w:cs="宋体"/>
                <w:bCs/>
                <w:sz w:val="20"/>
                <w:lang w:val="en-US" w:eastAsia="zh-CN"/>
              </w:rPr>
              <w:t>1120150027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widowControl/>
              <w:jc w:val="left"/>
              <w:rPr>
                <w:rFonts w:hint="eastAsia" w:ascii="宋体" w:hAnsi="宋体" w:cs="宋体"/>
                <w:bCs/>
                <w:sz w:val="20"/>
              </w:rPr>
            </w:pPr>
            <w:r>
              <w:rPr>
                <w:rFonts w:hint="eastAsia" w:ascii="宋体" w:hAnsi="宋体" w:cs="宋体"/>
                <w:bCs/>
                <w:sz w:val="20"/>
              </w:rPr>
              <w:t>总局选聘北京</w:t>
            </w:r>
            <w:r>
              <w:rPr>
                <w:rFonts w:hint="eastAsia" w:ascii="宋体" w:hAnsi="宋体" w:cs="宋体"/>
                <w:bCs/>
                <w:sz w:val="20"/>
                <w:lang w:val="en-US" w:eastAsia="zh-CN"/>
              </w:rPr>
              <w:t>仁达房地产评估有</w:t>
            </w:r>
            <w:r>
              <w:rPr>
                <w:rFonts w:hint="eastAsia" w:ascii="宋体" w:hAnsi="宋体" w:cs="宋体"/>
                <w:bCs/>
                <w:sz w:val="20"/>
              </w:rPr>
              <w:t>限公司对</w:t>
            </w:r>
            <w:r>
              <w:rPr>
                <w:rFonts w:hint="eastAsia" w:ascii="宋体" w:hAnsi="宋体" w:cs="宋体"/>
                <w:bCs/>
                <w:sz w:val="20"/>
                <w:lang w:val="en-US" w:eastAsia="zh-CN"/>
              </w:rPr>
              <w:t>北京大地高科地质勘查有限公司所属位于河北省石家庄市裕华区金马路</w:t>
            </w:r>
            <w:r>
              <w:rPr>
                <w:rFonts w:hint="default" w:ascii="宋体" w:hAnsi="宋体" w:cs="宋体"/>
                <w:bCs/>
                <w:sz w:val="20"/>
                <w:lang w:val="en-US" w:eastAsia="zh-CN"/>
              </w:rPr>
              <w:t>65</w:t>
            </w:r>
            <w:r>
              <w:rPr>
                <w:rFonts w:hint="eastAsia" w:ascii="宋体" w:hAnsi="宋体" w:cs="宋体"/>
                <w:bCs/>
                <w:sz w:val="20"/>
                <w:lang w:val="en-US" w:eastAsia="zh-CN"/>
              </w:rPr>
              <w:t>号财智大厦</w:t>
            </w:r>
            <w:r>
              <w:rPr>
                <w:rFonts w:hint="default" w:ascii="宋体" w:hAnsi="宋体" w:cs="宋体"/>
                <w:bCs/>
                <w:sz w:val="20"/>
                <w:lang w:val="en-US" w:eastAsia="zh-CN"/>
              </w:rPr>
              <w:t>309</w:t>
            </w:r>
            <w:r>
              <w:rPr>
                <w:rFonts w:hint="eastAsia" w:ascii="宋体" w:hAnsi="宋体" w:cs="宋体"/>
                <w:bCs/>
                <w:sz w:val="20"/>
                <w:lang w:val="en-US" w:eastAsia="zh-CN"/>
              </w:rPr>
              <w:t>号等共</w:t>
            </w:r>
            <w:r>
              <w:rPr>
                <w:rFonts w:hint="default" w:ascii="宋体" w:hAnsi="宋体" w:cs="宋体"/>
                <w:bCs/>
                <w:sz w:val="20"/>
                <w:lang w:val="en-US" w:eastAsia="zh-CN"/>
              </w:rPr>
              <w:t>78</w:t>
            </w:r>
            <w:r>
              <w:rPr>
                <w:rFonts w:hint="eastAsia" w:ascii="宋体" w:hAnsi="宋体" w:cs="宋体"/>
                <w:bCs/>
                <w:sz w:val="20"/>
                <w:lang w:val="en-US" w:eastAsia="zh-CN"/>
              </w:rPr>
              <w:t>套办公房地产</w:t>
            </w:r>
            <w:r>
              <w:rPr>
                <w:rFonts w:hint="eastAsia" w:ascii="宋体" w:hAnsi="宋体" w:cs="宋体"/>
                <w:bCs/>
                <w:sz w:val="20"/>
              </w:rPr>
              <w:t>开展评估工作，委托</w:t>
            </w:r>
            <w:r>
              <w:rPr>
                <w:rFonts w:hint="eastAsia" w:ascii="宋体" w:hAnsi="宋体" w:cs="宋体"/>
                <w:bCs/>
                <w:sz w:val="20"/>
                <w:lang w:val="en-US" w:eastAsia="zh-CN"/>
              </w:rPr>
              <w:t>北京中地华夏土地房地产评估</w:t>
            </w:r>
            <w:r>
              <w:rPr>
                <w:rFonts w:hint="eastAsia" w:ascii="宋体" w:hAnsi="宋体" w:cs="宋体"/>
                <w:bCs/>
                <w:sz w:val="20"/>
              </w:rPr>
              <w:t>有限公司对评估报告初稿进行了审核并出具了审核意见，直至审核无异议。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5</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widowControl/>
              <w:jc w:val="left"/>
              <w:rPr>
                <w:rFonts w:hint="eastAsia" w:ascii="宋体" w:hAnsi="宋体" w:cs="宋体"/>
                <w:bCs/>
                <w:sz w:val="20"/>
                <w:lang w:eastAsia="zh-CN"/>
              </w:rPr>
            </w:pPr>
            <w:r>
              <w:rPr>
                <w:rFonts w:hint="eastAsia" w:ascii="宋体" w:hAnsi="宋体" w:cs="宋体"/>
                <w:bCs/>
                <w:sz w:val="20"/>
              </w:rPr>
              <w:t>北京</w:t>
            </w:r>
            <w:r>
              <w:rPr>
                <w:rFonts w:hint="eastAsia" w:ascii="宋体" w:hAnsi="宋体" w:cs="宋体"/>
                <w:bCs/>
                <w:sz w:val="20"/>
                <w:lang w:val="en-US" w:eastAsia="zh-CN"/>
              </w:rPr>
              <w:t>仁达房地产评估有</w:t>
            </w:r>
            <w:r>
              <w:rPr>
                <w:rFonts w:hint="eastAsia" w:ascii="宋体" w:hAnsi="宋体" w:cs="宋体"/>
                <w:bCs/>
                <w:sz w:val="20"/>
              </w:rPr>
              <w:t>限公司接受总局的委托，对</w:t>
            </w:r>
            <w:r>
              <w:rPr>
                <w:rFonts w:hint="eastAsia" w:ascii="宋体" w:hAnsi="宋体" w:cs="宋体"/>
                <w:bCs/>
                <w:sz w:val="20"/>
                <w:lang w:val="en-US" w:eastAsia="zh-CN"/>
              </w:rPr>
              <w:t>河北省石家庄市裕华区金马路</w:t>
            </w:r>
            <w:r>
              <w:rPr>
                <w:rFonts w:hint="default" w:ascii="宋体" w:hAnsi="宋体" w:cs="宋体"/>
                <w:bCs/>
                <w:sz w:val="20"/>
                <w:lang w:val="en-US" w:eastAsia="zh-CN"/>
              </w:rPr>
              <w:t>65</w:t>
            </w:r>
            <w:r>
              <w:rPr>
                <w:rFonts w:hint="eastAsia" w:ascii="宋体" w:hAnsi="宋体" w:cs="宋体"/>
                <w:bCs/>
                <w:sz w:val="20"/>
                <w:lang w:val="en-US" w:eastAsia="zh-CN"/>
              </w:rPr>
              <w:t>号财智大厦</w:t>
            </w:r>
            <w:r>
              <w:rPr>
                <w:rFonts w:hint="default" w:ascii="宋体" w:hAnsi="宋体" w:cs="宋体"/>
                <w:bCs/>
                <w:sz w:val="20"/>
                <w:lang w:val="en-US" w:eastAsia="zh-CN"/>
              </w:rPr>
              <w:t>309</w:t>
            </w:r>
            <w:r>
              <w:rPr>
                <w:rFonts w:hint="eastAsia" w:ascii="宋体" w:hAnsi="宋体" w:cs="宋体"/>
                <w:bCs/>
                <w:sz w:val="20"/>
                <w:lang w:val="en-US" w:eastAsia="zh-CN"/>
              </w:rPr>
              <w:t>号等共</w:t>
            </w:r>
            <w:r>
              <w:rPr>
                <w:rFonts w:hint="default" w:ascii="宋体" w:hAnsi="宋体" w:cs="宋体"/>
                <w:bCs/>
                <w:sz w:val="20"/>
                <w:lang w:val="en-US" w:eastAsia="zh-CN"/>
              </w:rPr>
              <w:t>78</w:t>
            </w:r>
            <w:r>
              <w:rPr>
                <w:rFonts w:hint="eastAsia" w:ascii="宋体" w:hAnsi="宋体" w:cs="宋体"/>
                <w:bCs/>
                <w:sz w:val="20"/>
                <w:lang w:val="en-US" w:eastAsia="zh-CN"/>
              </w:rPr>
              <w:t>套办公房于2019年10月31日的市场价格开展评估，为确定该房地产市场价值提供参考依据。估价对象包括房屋建筑物及其分摊土地使用权，建筑面积为5541.03平方米。根据《不动产权证书》[冀（2018）石家庄市不动产权第0039593号]等共78本，北京大地高科地质勘查有限公司以出让方式取得了估价对象的国有土地使用权，至价值时点，估价对象剩余土地使用年限为32.3年，估价时点不存在抵押权。估价对象位于财智大厦3-9层及11-13层。本次评估采用比较法和收益法进行评估，经分析，采用比较法评估结果。河北省石家庄市裕华区金马路</w:t>
            </w:r>
            <w:r>
              <w:rPr>
                <w:rFonts w:hint="default" w:ascii="宋体" w:hAnsi="宋体" w:cs="宋体"/>
                <w:bCs/>
                <w:sz w:val="20"/>
                <w:lang w:val="en-US" w:eastAsia="zh-CN"/>
              </w:rPr>
              <w:t>65</w:t>
            </w:r>
            <w:r>
              <w:rPr>
                <w:rFonts w:hint="eastAsia" w:ascii="宋体" w:hAnsi="宋体" w:cs="宋体"/>
                <w:bCs/>
                <w:sz w:val="20"/>
                <w:lang w:val="en-US" w:eastAsia="zh-CN"/>
              </w:rPr>
              <w:t>号财智大厦</w:t>
            </w:r>
            <w:r>
              <w:rPr>
                <w:rFonts w:hint="default" w:ascii="宋体" w:hAnsi="宋体" w:cs="宋体"/>
                <w:bCs/>
                <w:sz w:val="20"/>
                <w:lang w:val="en-US" w:eastAsia="zh-CN"/>
              </w:rPr>
              <w:t>309</w:t>
            </w:r>
            <w:r>
              <w:rPr>
                <w:rFonts w:hint="eastAsia" w:ascii="宋体" w:hAnsi="宋体" w:cs="宋体"/>
                <w:bCs/>
                <w:sz w:val="20"/>
                <w:lang w:val="en-US" w:eastAsia="zh-CN"/>
              </w:rPr>
              <w:t>号等共</w:t>
            </w:r>
            <w:r>
              <w:rPr>
                <w:rFonts w:hint="default" w:ascii="宋体" w:hAnsi="宋体" w:cs="宋体"/>
                <w:bCs/>
                <w:sz w:val="20"/>
                <w:lang w:val="en-US" w:eastAsia="zh-CN"/>
              </w:rPr>
              <w:t>78</w:t>
            </w:r>
            <w:r>
              <w:rPr>
                <w:rFonts w:hint="eastAsia" w:ascii="宋体" w:hAnsi="宋体" w:cs="宋体"/>
                <w:bCs/>
                <w:sz w:val="20"/>
                <w:lang w:val="en-US" w:eastAsia="zh-CN"/>
              </w:rPr>
              <w:t>套办公房</w:t>
            </w:r>
            <w:r>
              <w:rPr>
                <w:rFonts w:hint="eastAsia" w:ascii="宋体" w:hAnsi="宋体" w:cs="宋体"/>
                <w:bCs/>
                <w:sz w:val="20"/>
                <w:lang w:eastAsia="zh-CN"/>
              </w:rPr>
              <w:t>于评估基准日在公开正常市场条件下的市场价值为：</w:t>
            </w:r>
            <w:r>
              <w:rPr>
                <w:rFonts w:hint="eastAsia" w:ascii="宋体" w:hAnsi="宋体" w:cs="宋体"/>
                <w:bCs/>
                <w:sz w:val="20"/>
                <w:lang w:val="en-US" w:eastAsia="zh-CN"/>
              </w:rPr>
              <w:t>9193万元</w:t>
            </w:r>
            <w:r>
              <w:rPr>
                <w:rFonts w:hint="eastAsia" w:ascii="宋体" w:hAnsi="宋体" w:cs="宋体"/>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210"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9039.99</w:t>
            </w:r>
          </w:p>
        </w:tc>
        <w:tc>
          <w:tcPr>
            <w:tcW w:w="126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9193</w:t>
            </w:r>
          </w:p>
        </w:tc>
        <w:tc>
          <w:tcPr>
            <w:tcW w:w="1230" w:type="dxa"/>
            <w:noWrap w:val="0"/>
            <w:vAlign w:val="center"/>
          </w:tcPr>
          <w:p>
            <w:pPr>
              <w:widowControl/>
              <w:jc w:val="left"/>
              <w:rPr>
                <w:rFonts w:hint="eastAsia" w:ascii="宋体" w:hAnsi="宋体" w:eastAsia="宋体" w:cs="宋体"/>
                <w:bCs/>
                <w:sz w:val="20"/>
                <w:lang w:val="en-US" w:eastAsia="zh-CN"/>
              </w:rPr>
            </w:pPr>
            <w:r>
              <w:rPr>
                <w:rFonts w:hint="eastAsia" w:ascii="楷体" w:hAnsi="楷体" w:eastAsia="楷体" w:cs="楷体"/>
                <w:color w:val="000000"/>
                <w:kern w:val="0"/>
                <w:sz w:val="19"/>
                <w:szCs w:val="19"/>
                <w:lang w:val="en-US" w:eastAsia="zh-CN" w:bidi="ar-SA"/>
              </w:rPr>
              <w:t xml:space="preserve">  </w:t>
            </w:r>
            <w:r>
              <w:rPr>
                <w:rFonts w:ascii="楷体" w:hAnsi="楷体" w:eastAsia="楷体" w:cs="楷体"/>
                <w:color w:val="000000"/>
                <w:kern w:val="0"/>
                <w:sz w:val="19"/>
                <w:szCs w:val="19"/>
                <w:lang w:val="en-US" w:eastAsia="zh-CN" w:bidi="ar-SA"/>
              </w:rPr>
              <w:t>153.01</w:t>
            </w:r>
          </w:p>
        </w:tc>
        <w:tc>
          <w:tcPr>
            <w:tcW w:w="1386"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hint="eastAsia" w:ascii="宋体" w:hAnsi="宋体" w:cs="宋体"/>
                <w:bCs/>
                <w:sz w:val="20"/>
              </w:rPr>
            </w:pPr>
          </w:p>
        </w:tc>
        <w:tc>
          <w:tcPr>
            <w:tcW w:w="1260" w:type="dxa"/>
            <w:noWrap w:val="0"/>
            <w:vAlign w:val="center"/>
          </w:tcPr>
          <w:p>
            <w:pPr>
              <w:widowControl/>
              <w:jc w:val="center"/>
              <w:rPr>
                <w:rFonts w:hint="eastAsia" w:ascii="宋体" w:hAnsi="宋体" w:cs="宋体"/>
                <w:bCs/>
                <w:sz w:val="20"/>
              </w:rPr>
            </w:pPr>
          </w:p>
        </w:tc>
        <w:tc>
          <w:tcPr>
            <w:tcW w:w="1230" w:type="dxa"/>
            <w:noWrap w:val="0"/>
            <w:vAlign w:val="center"/>
          </w:tcPr>
          <w:p>
            <w:pPr>
              <w:jc w:val="center"/>
              <w:rPr>
                <w:rFonts w:hint="eastAsia" w:ascii="宋体" w:hAnsi="宋体" w:cs="宋体"/>
                <w:bCs/>
                <w:sz w:val="20"/>
              </w:rPr>
            </w:pPr>
          </w:p>
        </w:tc>
        <w:tc>
          <w:tcPr>
            <w:tcW w:w="1386" w:type="dxa"/>
            <w:noWrap w:val="0"/>
            <w:vAlign w:val="center"/>
          </w:tcPr>
          <w:p>
            <w:pPr>
              <w:jc w:val="center"/>
              <w:rPr>
                <w:rFonts w:hint="eastAsia" w:ascii="宋体" w:hAnsi="宋体" w:cs="宋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9039.99</w:t>
            </w:r>
          </w:p>
        </w:tc>
        <w:tc>
          <w:tcPr>
            <w:tcW w:w="126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9193</w:t>
            </w:r>
          </w:p>
        </w:tc>
        <w:tc>
          <w:tcPr>
            <w:tcW w:w="1230" w:type="dxa"/>
            <w:noWrap w:val="0"/>
            <w:vAlign w:val="center"/>
          </w:tcPr>
          <w:p>
            <w:pPr>
              <w:widowControl/>
              <w:jc w:val="center"/>
              <w:rPr>
                <w:rFonts w:hint="eastAsia" w:ascii="宋体" w:hAnsi="宋体" w:eastAsia="宋体" w:cs="宋体"/>
                <w:bCs/>
                <w:sz w:val="20"/>
                <w:lang w:val="en-US" w:eastAsia="zh-CN"/>
              </w:rPr>
            </w:pPr>
            <w:r>
              <w:rPr>
                <w:rFonts w:ascii="楷体" w:hAnsi="楷体" w:eastAsia="楷体" w:cs="楷体"/>
                <w:color w:val="000000"/>
                <w:kern w:val="0"/>
                <w:sz w:val="19"/>
                <w:szCs w:val="19"/>
                <w:lang w:val="en-US" w:eastAsia="zh-CN" w:bidi="ar-SA"/>
              </w:rPr>
              <w:t>153.01</w:t>
            </w:r>
          </w:p>
        </w:tc>
        <w:tc>
          <w:tcPr>
            <w:tcW w:w="1386"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7</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r>
        <w:rPr>
          <w:rFonts w:hint="eastAsia" w:ascii="宋体" w:hAnsi="宋体" w:cs="宋体"/>
          <w:bCs/>
          <w:sz w:val="20"/>
        </w:rPr>
        <w:t>接受反馈意见部门：资产财务部          联系人：</w:t>
      </w:r>
      <w:r>
        <w:rPr>
          <w:rFonts w:hint="eastAsia" w:ascii="宋体" w:hAnsi="宋体" w:cs="宋体"/>
          <w:bCs/>
          <w:sz w:val="20"/>
          <w:lang w:eastAsia="zh-CN"/>
        </w:rPr>
        <w:t>夏杰</w:t>
      </w:r>
      <w:r>
        <w:rPr>
          <w:rFonts w:hint="eastAsia" w:ascii="宋体" w:hAnsi="宋体" w:cs="宋体"/>
          <w:bCs/>
          <w:sz w:val="20"/>
        </w:rPr>
        <w:t xml:space="preserve">     </w:t>
      </w:r>
      <w:r>
        <w:rPr>
          <w:rFonts w:hint="eastAsia" w:ascii="宋体" w:hAnsi="宋体" w:cs="宋体"/>
          <w:bCs/>
          <w:sz w:val="20"/>
          <w:lang w:val="en-US" w:eastAsia="zh-CN"/>
        </w:rPr>
        <w:t xml:space="preserve">   </w:t>
      </w:r>
      <w:r>
        <w:rPr>
          <w:rFonts w:hint="eastAsia" w:ascii="宋体" w:hAnsi="宋体" w:cs="宋体"/>
          <w:bCs/>
          <w:sz w:val="20"/>
        </w:rPr>
        <w:t xml:space="preserve">  联系方式：13</w:t>
      </w:r>
      <w:r>
        <w:rPr>
          <w:rFonts w:hint="eastAsia" w:ascii="宋体" w:hAnsi="宋体" w:cs="宋体"/>
          <w:bCs/>
          <w:sz w:val="20"/>
          <w:lang w:val="en-US" w:eastAsia="zh-CN"/>
        </w:rPr>
        <w:t>641397643</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103CE"/>
    <w:rsid w:val="1691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2020-07-20T03:25:00Z</dcterms:created>
  <dc:creator>赵龙</dc:creator>
  <cp:lastModifiedBy>赵龙</cp:lastModifiedBy>
  <dcterms:modified xsi:type="dcterms:W3CDTF">2020-07-20T03:25:51Z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